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91553D" w:rsidRPr="00866FA5" w:rsidTr="00AA6054">
        <w:tc>
          <w:tcPr>
            <w:tcW w:w="2268" w:type="dxa"/>
          </w:tcPr>
          <w:p w:rsidR="0091553D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  <w:p w:rsidR="00B50A1A" w:rsidRPr="00866FA5" w:rsidRDefault="0085746E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Institutt IMK</w:t>
            </w:r>
          </w:p>
        </w:tc>
        <w:tc>
          <w:tcPr>
            <w:tcW w:w="168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560" w:type="dxa"/>
          </w:tcPr>
          <w:p w:rsidR="0091553D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  <w:p w:rsidR="0085746E" w:rsidRPr="00866FA5" w:rsidRDefault="0085746E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GL, TN</w:t>
            </w:r>
          </w:p>
        </w:tc>
        <w:tc>
          <w:tcPr>
            <w:tcW w:w="180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:rsidR="0091553D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91553D" w:rsidRPr="00866FA5" w:rsidRDefault="00000392" w:rsidP="009168B2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T3</w:t>
            </w:r>
            <w:r w:rsidR="0091553D">
              <w:rPr>
                <w:rFonts w:ascii="Georgia" w:hAnsi="Georgia"/>
                <w:b/>
                <w:bCs/>
                <w:color w:val="365F91"/>
                <w:sz w:val="16"/>
              </w:rPr>
              <w:t xml:space="preserve"> - 201</w:t>
            </w:r>
            <w:r w:rsidR="009602D1">
              <w:rPr>
                <w:rFonts w:ascii="Georgia" w:hAnsi="Georgia"/>
                <w:b/>
                <w:bCs/>
                <w:color w:val="365F91"/>
                <w:sz w:val="16"/>
              </w:rPr>
              <w:t>9</w:t>
            </w:r>
          </w:p>
        </w:tc>
        <w:tc>
          <w:tcPr>
            <w:tcW w:w="109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91553D" w:rsidRDefault="00B50A1A" w:rsidP="0091553D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 xml:space="preserve">Økonomirapport </w:t>
      </w:r>
      <w:r w:rsidR="00063D03">
        <w:rPr>
          <w:rFonts w:ascii="Georgia" w:hAnsi="Georgia"/>
          <w:lang w:val="nb-NO"/>
        </w:rPr>
        <w:t>IMK</w:t>
      </w:r>
      <w:r w:rsidR="009602D1">
        <w:rPr>
          <w:rFonts w:ascii="Georgia" w:hAnsi="Georgia"/>
          <w:lang w:val="nb-NO"/>
        </w:rPr>
        <w:t xml:space="preserve"> T3 2019</w:t>
      </w:r>
    </w:p>
    <w:p w:rsidR="00B20242" w:rsidRDefault="00B20242" w:rsidP="00B20242">
      <w:pPr>
        <w:pStyle w:val="Heading2"/>
      </w:pPr>
      <w:r>
        <w:t>Vurdering av økonomisk situasjon</w:t>
      </w:r>
    </w:p>
    <w:p w:rsidR="00492DD5" w:rsidRDefault="00492DD5" w:rsidP="00B50A1A">
      <w:pPr>
        <w:rPr>
          <w:b/>
        </w:rPr>
      </w:pPr>
    </w:p>
    <w:p w:rsidR="0007685A" w:rsidRDefault="0007685A" w:rsidP="00B50A1A">
      <w:pPr>
        <w:rPr>
          <w:b/>
        </w:rPr>
      </w:pPr>
      <w:bookmarkStart w:id="0" w:name="_GoBack"/>
      <w:bookmarkEnd w:id="0"/>
    </w:p>
    <w:p w:rsidR="00B50A1A" w:rsidRDefault="00B50A1A" w:rsidP="00B50A1A">
      <w:pPr>
        <w:rPr>
          <w:rFonts w:ascii="Georgia" w:hAnsi="Georgia"/>
          <w:b/>
        </w:rPr>
      </w:pPr>
      <w:r w:rsidRPr="00774CD0">
        <w:rPr>
          <w:rFonts w:ascii="Georgia" w:hAnsi="Georgia"/>
          <w:b/>
        </w:rPr>
        <w:t>Basisvirksomhet</w:t>
      </w:r>
    </w:p>
    <w:p w:rsidR="00BF407C" w:rsidRPr="00774CD0" w:rsidRDefault="00BF407C" w:rsidP="00B50A1A">
      <w:pPr>
        <w:rPr>
          <w:rFonts w:ascii="Georgia" w:hAnsi="Georgia"/>
          <w:b/>
        </w:rPr>
      </w:pPr>
      <w:r>
        <w:rPr>
          <w:noProof/>
          <w:lang w:eastAsia="nb-NO"/>
        </w:rPr>
        <w:drawing>
          <wp:inline distT="0" distB="0" distL="0" distR="0" wp14:anchorId="7B66ADBA" wp14:editId="511B594B">
            <wp:extent cx="6020161" cy="193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8631" cy="19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A1A" w:rsidRDefault="00B50A1A" w:rsidP="00B50A1A">
      <w:pPr>
        <w:rPr>
          <w:b/>
        </w:rPr>
      </w:pPr>
    </w:p>
    <w:p w:rsidR="00B50A1A" w:rsidRDefault="00B50A1A" w:rsidP="00B50A1A">
      <w:pPr>
        <w:rPr>
          <w:b/>
        </w:rPr>
      </w:pPr>
    </w:p>
    <w:p w:rsidR="00B50A1A" w:rsidRPr="005D78BB" w:rsidRDefault="00B50A1A" w:rsidP="00B50A1A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Tabellen viser </w:t>
      </w:r>
      <w:r w:rsidR="0069072E">
        <w:rPr>
          <w:rFonts w:ascii="Georgia" w:hAnsi="Georgia"/>
          <w:i/>
          <w:sz w:val="20"/>
          <w:szCs w:val="20"/>
        </w:rPr>
        <w:t xml:space="preserve">basis </w:t>
      </w:r>
      <w:r w:rsidRPr="005D78BB">
        <w:rPr>
          <w:rFonts w:ascii="Georgia" w:hAnsi="Georgia"/>
          <w:i/>
          <w:sz w:val="20"/>
          <w:szCs w:val="20"/>
        </w:rPr>
        <w:t>årsregnskap for 201</w:t>
      </w:r>
      <w:r w:rsidR="008E6E2D">
        <w:rPr>
          <w:rFonts w:ascii="Georgia" w:hAnsi="Georgia"/>
          <w:i/>
          <w:sz w:val="20"/>
          <w:szCs w:val="20"/>
        </w:rPr>
        <w:t>8, årsregnskap 2019 mot budsjett 2019</w:t>
      </w:r>
      <w:r w:rsidRPr="005D78BB">
        <w:rPr>
          <w:rFonts w:ascii="Georgia" w:hAnsi="Georgia"/>
          <w:i/>
          <w:sz w:val="20"/>
          <w:szCs w:val="20"/>
        </w:rPr>
        <w:t>.</w:t>
      </w:r>
    </w:p>
    <w:p w:rsidR="007E2EE6" w:rsidRDefault="007E2EE6" w:rsidP="007E2EE6">
      <w:pPr>
        <w:rPr>
          <w:rFonts w:ascii="Georgia" w:hAnsi="Georgia"/>
          <w:sz w:val="20"/>
          <w:szCs w:val="20"/>
        </w:rPr>
      </w:pPr>
    </w:p>
    <w:p w:rsidR="001C5767" w:rsidRPr="005D78BB" w:rsidRDefault="001C5767" w:rsidP="001C576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</w:t>
      </w:r>
      <w:r w:rsidRPr="005D78BB">
        <w:rPr>
          <w:rFonts w:ascii="Georgia" w:hAnsi="Georgia"/>
          <w:sz w:val="20"/>
          <w:szCs w:val="20"/>
        </w:rPr>
        <w:t xml:space="preserve">asisvirksomheten ved </w:t>
      </w:r>
      <w:r w:rsidR="00627A70">
        <w:rPr>
          <w:rFonts w:ascii="Georgia" w:hAnsi="Georgia"/>
          <w:sz w:val="20"/>
          <w:szCs w:val="20"/>
        </w:rPr>
        <w:t xml:space="preserve">IMK </w:t>
      </w:r>
      <w:r w:rsidR="0007685A">
        <w:rPr>
          <w:rFonts w:ascii="Georgia" w:hAnsi="Georgia"/>
          <w:sz w:val="20"/>
          <w:szCs w:val="20"/>
        </w:rPr>
        <w:t>har pr. 31</w:t>
      </w:r>
      <w:r w:rsidRPr="005D78BB">
        <w:rPr>
          <w:rFonts w:ascii="Georgia" w:hAnsi="Georgia"/>
          <w:sz w:val="20"/>
          <w:szCs w:val="20"/>
        </w:rPr>
        <w:t>.12.1</w:t>
      </w:r>
      <w:r w:rsidR="008E6E2D">
        <w:rPr>
          <w:rFonts w:ascii="Georgia" w:hAnsi="Georgia"/>
          <w:sz w:val="20"/>
          <w:szCs w:val="20"/>
        </w:rPr>
        <w:t>9</w:t>
      </w:r>
      <w:r w:rsidRPr="005D78BB">
        <w:rPr>
          <w:rFonts w:ascii="Georgia" w:hAnsi="Georgia"/>
          <w:sz w:val="20"/>
          <w:szCs w:val="20"/>
        </w:rPr>
        <w:t xml:space="preserve"> et akkumulert m</w:t>
      </w:r>
      <w:r w:rsidR="005746C6">
        <w:rPr>
          <w:rFonts w:ascii="Georgia" w:hAnsi="Georgia"/>
          <w:sz w:val="20"/>
          <w:szCs w:val="20"/>
        </w:rPr>
        <w:t>er</w:t>
      </w:r>
      <w:r w:rsidRPr="005D78BB">
        <w:rPr>
          <w:rFonts w:ascii="Georgia" w:hAnsi="Georgia"/>
          <w:sz w:val="20"/>
          <w:szCs w:val="20"/>
        </w:rPr>
        <w:t xml:space="preserve">forbruk på ca. </w:t>
      </w:r>
      <w:r w:rsidR="005746C6">
        <w:rPr>
          <w:rFonts w:ascii="Georgia" w:hAnsi="Georgia"/>
          <w:sz w:val="20"/>
          <w:szCs w:val="20"/>
        </w:rPr>
        <w:t>2,6</w:t>
      </w:r>
      <w:r w:rsidRPr="005D78BB">
        <w:rPr>
          <w:rFonts w:ascii="Georgia" w:hAnsi="Georgia"/>
          <w:sz w:val="20"/>
          <w:szCs w:val="20"/>
        </w:rPr>
        <w:t xml:space="preserve"> millioner kr</w:t>
      </w:r>
      <w:r w:rsidR="008E6E2D">
        <w:rPr>
          <w:rFonts w:ascii="Georgia" w:hAnsi="Georgia"/>
          <w:sz w:val="20"/>
          <w:szCs w:val="20"/>
        </w:rPr>
        <w:t xml:space="preserve">, noe som er ca. </w:t>
      </w:r>
      <w:r w:rsidR="005746C6">
        <w:rPr>
          <w:rFonts w:ascii="Georgia" w:hAnsi="Georgia"/>
          <w:sz w:val="20"/>
          <w:szCs w:val="20"/>
        </w:rPr>
        <w:t>4,9</w:t>
      </w:r>
      <w:r>
        <w:rPr>
          <w:rFonts w:ascii="Georgia" w:hAnsi="Georgia"/>
          <w:sz w:val="20"/>
          <w:szCs w:val="20"/>
        </w:rPr>
        <w:t xml:space="preserve"> million</w:t>
      </w:r>
      <w:r w:rsidR="00AF0FFA">
        <w:rPr>
          <w:rFonts w:ascii="Georgia" w:hAnsi="Georgia"/>
          <w:sz w:val="20"/>
          <w:szCs w:val="20"/>
        </w:rPr>
        <w:t>er</w:t>
      </w:r>
      <w:r>
        <w:rPr>
          <w:rFonts w:ascii="Georgia" w:hAnsi="Georgia"/>
          <w:sz w:val="20"/>
          <w:szCs w:val="20"/>
        </w:rPr>
        <w:t xml:space="preserve"> kr </w:t>
      </w:r>
      <w:r w:rsidR="008E6E2D">
        <w:rPr>
          <w:rFonts w:ascii="Georgia" w:hAnsi="Georgia"/>
          <w:sz w:val="20"/>
          <w:szCs w:val="20"/>
        </w:rPr>
        <w:t>bedre</w:t>
      </w:r>
      <w:r>
        <w:rPr>
          <w:rFonts w:ascii="Georgia" w:hAnsi="Georgia"/>
          <w:sz w:val="20"/>
          <w:szCs w:val="20"/>
        </w:rPr>
        <w:t xml:space="preserve"> enn opprinnelig budsjettert for perioden</w:t>
      </w:r>
      <w:r w:rsidR="00D61F76">
        <w:rPr>
          <w:rFonts w:ascii="Georgia" w:hAnsi="Georgia"/>
          <w:sz w:val="20"/>
          <w:szCs w:val="20"/>
        </w:rPr>
        <w:t xml:space="preserve">. </w:t>
      </w:r>
      <w:r w:rsidR="008E6E2D">
        <w:rPr>
          <w:rFonts w:ascii="Georgia" w:hAnsi="Georgia"/>
          <w:sz w:val="20"/>
          <w:szCs w:val="20"/>
        </w:rPr>
        <w:t xml:space="preserve">Isolert for 2019 er det et merforbruk </w:t>
      </w:r>
      <w:r w:rsidR="008A5D15">
        <w:rPr>
          <w:rFonts w:ascii="Georgia" w:hAnsi="Georgia"/>
          <w:sz w:val="20"/>
          <w:szCs w:val="20"/>
        </w:rPr>
        <w:t>på ca. 82 000</w:t>
      </w:r>
      <w:r w:rsidR="00592A23">
        <w:rPr>
          <w:rFonts w:ascii="Georgia" w:hAnsi="Georgia"/>
          <w:sz w:val="20"/>
          <w:szCs w:val="20"/>
        </w:rPr>
        <w:t xml:space="preserve">. Selv om det er merforbruk isolert i 2019 er det mindre merforbruk i 2019 sammenlignet med 2018. </w:t>
      </w:r>
    </w:p>
    <w:p w:rsidR="001C5767" w:rsidRDefault="001C5767" w:rsidP="007E2EE6">
      <w:pPr>
        <w:rPr>
          <w:rFonts w:ascii="Georgia" w:hAnsi="Georgia"/>
          <w:sz w:val="20"/>
          <w:szCs w:val="20"/>
        </w:rPr>
      </w:pPr>
    </w:p>
    <w:p w:rsidR="00B44C0D" w:rsidRDefault="00B44C0D" w:rsidP="00B44C0D">
      <w:pPr>
        <w:rPr>
          <w:rFonts w:ascii="Georgia" w:hAnsi="Georgia"/>
          <w:b/>
          <w:sz w:val="20"/>
          <w:szCs w:val="20"/>
        </w:rPr>
      </w:pPr>
      <w:r w:rsidRPr="00E57F69">
        <w:rPr>
          <w:rFonts w:ascii="Georgia" w:hAnsi="Georgia"/>
          <w:sz w:val="20"/>
          <w:szCs w:val="20"/>
        </w:rPr>
        <w:t xml:space="preserve">Det vises til vedlagte </w:t>
      </w:r>
      <w:r w:rsidR="00D45AD0">
        <w:rPr>
          <w:rFonts w:ascii="Georgia" w:hAnsi="Georgia"/>
          <w:sz w:val="20"/>
          <w:szCs w:val="20"/>
        </w:rPr>
        <w:t>rapporter. Regnskapet for basis</w:t>
      </w:r>
      <w:r w:rsidRPr="00E57F69">
        <w:rPr>
          <w:rFonts w:ascii="Georgia" w:hAnsi="Georgia"/>
          <w:sz w:val="20"/>
          <w:szCs w:val="20"/>
        </w:rPr>
        <w:t>virksomheten kommenteres nedenfor i henhold til det opprinnelige budsjett</w:t>
      </w:r>
      <w:r>
        <w:rPr>
          <w:rFonts w:ascii="Georgia" w:hAnsi="Georgia"/>
          <w:sz w:val="20"/>
          <w:szCs w:val="20"/>
        </w:rPr>
        <w:t>.</w:t>
      </w:r>
    </w:p>
    <w:p w:rsidR="00B44C0D" w:rsidRDefault="00B44C0D" w:rsidP="007E2EE6">
      <w:pPr>
        <w:rPr>
          <w:rFonts w:ascii="Georgia" w:hAnsi="Georgia"/>
          <w:sz w:val="20"/>
          <w:szCs w:val="20"/>
        </w:rPr>
      </w:pPr>
    </w:p>
    <w:p w:rsidR="00052682" w:rsidRPr="005D78BB" w:rsidRDefault="00052682" w:rsidP="00052682">
      <w:pPr>
        <w:spacing w:line="276" w:lineRule="auto"/>
        <w:rPr>
          <w:rFonts w:ascii="Georgia" w:hAnsi="Georgia"/>
          <w:b/>
          <w:sz w:val="20"/>
          <w:szCs w:val="20"/>
        </w:rPr>
      </w:pPr>
      <w:r w:rsidRPr="005D78BB">
        <w:rPr>
          <w:rFonts w:ascii="Georgia" w:hAnsi="Georgia"/>
          <w:b/>
          <w:sz w:val="20"/>
          <w:szCs w:val="20"/>
        </w:rPr>
        <w:t>Inntekter</w:t>
      </w:r>
    </w:p>
    <w:p w:rsidR="000C6C99" w:rsidRDefault="00592A23" w:rsidP="00052682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Instituttet har mottatt ca. </w:t>
      </w:r>
      <w:r w:rsidR="008A5D15">
        <w:rPr>
          <w:rFonts w:ascii="Georgia" w:hAnsi="Georgia"/>
          <w:sz w:val="20"/>
          <w:szCs w:val="20"/>
        </w:rPr>
        <w:t>37,9</w:t>
      </w:r>
      <w:r w:rsidR="00052682" w:rsidRPr="00A71AE9">
        <w:rPr>
          <w:rFonts w:ascii="Georgia" w:hAnsi="Georgia"/>
          <w:sz w:val="20"/>
          <w:szCs w:val="20"/>
        </w:rPr>
        <w:t xml:space="preserve"> millioner </w:t>
      </w:r>
      <w:r w:rsidR="008A5D15">
        <w:rPr>
          <w:rFonts w:ascii="Georgia" w:hAnsi="Georgia"/>
          <w:sz w:val="20"/>
          <w:szCs w:val="20"/>
        </w:rPr>
        <w:t xml:space="preserve">i inntekter, noe som er </w:t>
      </w:r>
      <w:r w:rsidR="00112309">
        <w:rPr>
          <w:rFonts w:ascii="Georgia" w:hAnsi="Georgia"/>
          <w:sz w:val="20"/>
          <w:szCs w:val="20"/>
        </w:rPr>
        <w:t>ca. 1 million</w:t>
      </w:r>
      <w:r w:rsidR="008A5D15">
        <w:rPr>
          <w:rFonts w:ascii="Georgia" w:hAnsi="Georgia"/>
          <w:sz w:val="20"/>
          <w:szCs w:val="20"/>
        </w:rPr>
        <w:t xml:space="preserve"> </w:t>
      </w:r>
      <w:r w:rsidR="00052682" w:rsidRPr="00A71AE9">
        <w:rPr>
          <w:rFonts w:ascii="Georgia" w:hAnsi="Georgia"/>
          <w:sz w:val="20"/>
          <w:szCs w:val="20"/>
        </w:rPr>
        <w:t xml:space="preserve">kr </w:t>
      </w:r>
      <w:r w:rsidR="008A5D15">
        <w:rPr>
          <w:rFonts w:ascii="Georgia" w:hAnsi="Georgia"/>
          <w:sz w:val="20"/>
          <w:szCs w:val="20"/>
        </w:rPr>
        <w:t>mer</w:t>
      </w:r>
      <w:r w:rsidR="00052682" w:rsidRPr="00A71AE9">
        <w:rPr>
          <w:rFonts w:ascii="Georgia" w:hAnsi="Georgia"/>
          <w:sz w:val="20"/>
          <w:szCs w:val="20"/>
        </w:rPr>
        <w:t xml:space="preserve"> enn budsjettert for året. </w:t>
      </w:r>
      <w:r w:rsidR="00112309">
        <w:rPr>
          <w:rFonts w:ascii="Georgia" w:hAnsi="Georgia"/>
          <w:sz w:val="20"/>
          <w:szCs w:val="20"/>
        </w:rPr>
        <w:t xml:space="preserve"> </w:t>
      </w:r>
      <w:r w:rsidR="00052682" w:rsidRPr="00A71AE9">
        <w:rPr>
          <w:rFonts w:ascii="Georgia" w:hAnsi="Georgia"/>
          <w:sz w:val="20"/>
          <w:szCs w:val="20"/>
        </w:rPr>
        <w:t xml:space="preserve">Avviket skyldes i hovedsak at det er mottatt ikke budsjetterte midler til </w:t>
      </w:r>
      <w:r w:rsidR="00112309">
        <w:rPr>
          <w:rFonts w:ascii="Georgia" w:hAnsi="Georgia"/>
          <w:sz w:val="20"/>
          <w:szCs w:val="20"/>
        </w:rPr>
        <w:t>forskningsreiser</w:t>
      </w:r>
      <w:r w:rsidR="00A71AE9" w:rsidRPr="00A71AE9">
        <w:rPr>
          <w:rFonts w:ascii="Georgia" w:hAnsi="Georgia"/>
          <w:sz w:val="20"/>
          <w:szCs w:val="20"/>
        </w:rPr>
        <w:t xml:space="preserve">, </w:t>
      </w:r>
      <w:r w:rsidR="00112309">
        <w:rPr>
          <w:rFonts w:ascii="Georgia" w:hAnsi="Georgia"/>
          <w:sz w:val="20"/>
          <w:szCs w:val="20"/>
        </w:rPr>
        <w:t xml:space="preserve">Frie midler til forskning, </w:t>
      </w:r>
      <w:r w:rsidR="00BA6177">
        <w:rPr>
          <w:rFonts w:ascii="Georgia" w:hAnsi="Georgia"/>
          <w:sz w:val="20"/>
          <w:szCs w:val="20"/>
        </w:rPr>
        <w:t>PES-midler</w:t>
      </w:r>
      <w:r w:rsidR="00112309">
        <w:rPr>
          <w:rFonts w:ascii="Georgia" w:hAnsi="Georgia"/>
          <w:sz w:val="20"/>
          <w:szCs w:val="20"/>
        </w:rPr>
        <w:t>, midler til SFF søknad, midler til et internt prosjekt «For hverandre», og mer i stipendiatmidler.</w:t>
      </w:r>
      <w:r w:rsidR="000C6C99">
        <w:rPr>
          <w:rFonts w:ascii="Georgia" w:hAnsi="Georgia"/>
          <w:sz w:val="20"/>
          <w:szCs w:val="20"/>
        </w:rPr>
        <w:t xml:space="preserve"> </w:t>
      </w:r>
      <w:r w:rsidR="00A71AE9" w:rsidRPr="00A71AE9">
        <w:rPr>
          <w:rFonts w:ascii="Georgia" w:hAnsi="Georgia"/>
          <w:sz w:val="20"/>
          <w:szCs w:val="20"/>
        </w:rPr>
        <w:t xml:space="preserve"> </w:t>
      </w:r>
    </w:p>
    <w:p w:rsidR="00052682" w:rsidRPr="005D78BB" w:rsidRDefault="00052682" w:rsidP="00052682">
      <w:pPr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</w:r>
      <w:r w:rsidRPr="005D78BB">
        <w:rPr>
          <w:rFonts w:ascii="Georgia" w:hAnsi="Georgia"/>
          <w:b/>
          <w:sz w:val="20"/>
          <w:szCs w:val="20"/>
        </w:rPr>
        <w:t>Personalkostnader</w:t>
      </w:r>
    </w:p>
    <w:p w:rsidR="00E6045D" w:rsidRPr="005D78BB" w:rsidRDefault="00052682" w:rsidP="0053763A">
      <w:pPr>
        <w:spacing w:line="276" w:lineRule="auto"/>
        <w:rPr>
          <w:rFonts w:ascii="Georgia" w:hAnsi="Georgia"/>
          <w:sz w:val="20"/>
          <w:szCs w:val="20"/>
        </w:rPr>
      </w:pPr>
      <w:r w:rsidRPr="005D78BB">
        <w:rPr>
          <w:rFonts w:ascii="Georgia" w:hAnsi="Georgia"/>
          <w:sz w:val="20"/>
          <w:szCs w:val="20"/>
        </w:rPr>
        <w:t xml:space="preserve">Personalkostnadene totalt viser et </w:t>
      </w:r>
      <w:proofErr w:type="spellStart"/>
      <w:r w:rsidR="00764468">
        <w:rPr>
          <w:rFonts w:ascii="Georgia" w:hAnsi="Georgia"/>
          <w:sz w:val="20"/>
          <w:szCs w:val="20"/>
        </w:rPr>
        <w:t>mindreforbruk</w:t>
      </w:r>
      <w:proofErr w:type="spellEnd"/>
      <w:r w:rsidRPr="005D78BB">
        <w:rPr>
          <w:rFonts w:ascii="Georgia" w:hAnsi="Georgia"/>
          <w:sz w:val="20"/>
          <w:szCs w:val="20"/>
        </w:rPr>
        <w:t xml:space="preserve"> på ca. </w:t>
      </w:r>
      <w:r w:rsidR="000C6C99">
        <w:rPr>
          <w:rFonts w:ascii="Georgia" w:hAnsi="Georgia"/>
          <w:sz w:val="20"/>
          <w:szCs w:val="20"/>
        </w:rPr>
        <w:t>2,2</w:t>
      </w:r>
      <w:r w:rsidRPr="005D78BB">
        <w:rPr>
          <w:rFonts w:ascii="Georgia" w:hAnsi="Georgia"/>
          <w:sz w:val="20"/>
          <w:szCs w:val="20"/>
        </w:rPr>
        <w:t xml:space="preserve"> millioner kr. </w:t>
      </w:r>
      <w:r w:rsidR="0053763A">
        <w:rPr>
          <w:rFonts w:ascii="Georgia" w:hAnsi="Georgia"/>
          <w:sz w:val="20"/>
          <w:szCs w:val="20"/>
        </w:rPr>
        <w:t xml:space="preserve">Avviket skyldes høyere offentlige refusjon og overføring av </w:t>
      </w:r>
      <w:r w:rsidR="00652CAB">
        <w:rPr>
          <w:rFonts w:ascii="Georgia" w:hAnsi="Georgia"/>
          <w:sz w:val="20"/>
          <w:szCs w:val="20"/>
        </w:rPr>
        <w:t>inntekter</w:t>
      </w:r>
      <w:r w:rsidR="0053763A">
        <w:rPr>
          <w:rFonts w:ascii="Georgia" w:hAnsi="Georgia"/>
          <w:sz w:val="20"/>
          <w:szCs w:val="20"/>
        </w:rPr>
        <w:t xml:space="preserve"> for SAR forsker, som er regnskapsført som frikjøp og vises i kategorien «andre personalkostnader».</w:t>
      </w:r>
    </w:p>
    <w:p w:rsidR="00052682" w:rsidRPr="005D78BB" w:rsidRDefault="00052682" w:rsidP="00052682">
      <w:pPr>
        <w:rPr>
          <w:rFonts w:ascii="Georgia" w:hAnsi="Georgia"/>
          <w:sz w:val="20"/>
          <w:szCs w:val="20"/>
        </w:rPr>
      </w:pPr>
    </w:p>
    <w:p w:rsidR="00052682" w:rsidRPr="005D78BB" w:rsidRDefault="00052682" w:rsidP="00052682">
      <w:pPr>
        <w:rPr>
          <w:rFonts w:ascii="Georgia" w:hAnsi="Georgia"/>
          <w:b/>
          <w:sz w:val="20"/>
          <w:szCs w:val="20"/>
        </w:rPr>
      </w:pPr>
      <w:r w:rsidRPr="005D78BB">
        <w:rPr>
          <w:rFonts w:ascii="Georgia" w:hAnsi="Georgia"/>
          <w:b/>
          <w:sz w:val="20"/>
          <w:szCs w:val="20"/>
        </w:rPr>
        <w:t>Driftskostnader</w:t>
      </w:r>
    </w:p>
    <w:p w:rsidR="00052682" w:rsidRPr="0007685A" w:rsidRDefault="00052682" w:rsidP="00052682">
      <w:pPr>
        <w:rPr>
          <w:rFonts w:ascii="Georgia" w:hAnsi="Georgia"/>
          <w:sz w:val="20"/>
          <w:szCs w:val="20"/>
        </w:rPr>
      </w:pPr>
      <w:r w:rsidRPr="005D78BB">
        <w:rPr>
          <w:rFonts w:ascii="Georgia" w:hAnsi="Georgia"/>
          <w:sz w:val="20"/>
          <w:szCs w:val="20"/>
        </w:rPr>
        <w:t>De totale driftskostnadene er ca.</w:t>
      </w:r>
      <w:r>
        <w:rPr>
          <w:rFonts w:ascii="Georgia" w:hAnsi="Georgia"/>
          <w:sz w:val="20"/>
          <w:szCs w:val="20"/>
        </w:rPr>
        <w:t xml:space="preserve"> </w:t>
      </w:r>
      <w:r w:rsidR="0053763A">
        <w:rPr>
          <w:rFonts w:ascii="Georgia" w:hAnsi="Georgia"/>
          <w:sz w:val="20"/>
          <w:szCs w:val="20"/>
        </w:rPr>
        <w:t xml:space="preserve">0,2 </w:t>
      </w:r>
      <w:r w:rsidR="004B1D43">
        <w:rPr>
          <w:rFonts w:ascii="Georgia" w:hAnsi="Georgia"/>
          <w:sz w:val="20"/>
          <w:szCs w:val="20"/>
        </w:rPr>
        <w:t>million</w:t>
      </w:r>
      <w:r w:rsidRPr="005D78BB">
        <w:rPr>
          <w:rFonts w:ascii="Georgia" w:hAnsi="Georgia"/>
          <w:sz w:val="20"/>
          <w:szCs w:val="20"/>
        </w:rPr>
        <w:t xml:space="preserve"> kr </w:t>
      </w:r>
      <w:r>
        <w:rPr>
          <w:rFonts w:ascii="Georgia" w:hAnsi="Georgia"/>
          <w:sz w:val="20"/>
          <w:szCs w:val="20"/>
        </w:rPr>
        <w:t>lavere</w:t>
      </w:r>
      <w:r w:rsidRPr="005D78BB">
        <w:rPr>
          <w:rFonts w:ascii="Georgia" w:hAnsi="Georgia"/>
          <w:sz w:val="20"/>
          <w:szCs w:val="20"/>
        </w:rPr>
        <w:t xml:space="preserve"> enn budsjettert for året</w:t>
      </w:r>
      <w:r w:rsidRPr="0007685A">
        <w:rPr>
          <w:rFonts w:ascii="Georgia" w:hAnsi="Georgia"/>
          <w:sz w:val="20"/>
          <w:szCs w:val="20"/>
        </w:rPr>
        <w:t xml:space="preserve">. </w:t>
      </w:r>
      <w:r w:rsidR="00764468" w:rsidRPr="0007685A">
        <w:rPr>
          <w:rFonts w:ascii="Georgia" w:hAnsi="Georgia"/>
          <w:sz w:val="20"/>
          <w:szCs w:val="20"/>
        </w:rPr>
        <w:t xml:space="preserve">Dette skyldes forsinkelser i bruk av </w:t>
      </w:r>
      <w:r w:rsidR="00652CAB" w:rsidRPr="0007685A">
        <w:rPr>
          <w:rFonts w:ascii="Georgia" w:hAnsi="Georgia"/>
          <w:sz w:val="20"/>
          <w:szCs w:val="20"/>
        </w:rPr>
        <w:t xml:space="preserve">midler til interne prosjekter </w:t>
      </w:r>
      <w:r w:rsidR="003D5ACB" w:rsidRPr="0007685A">
        <w:rPr>
          <w:rFonts w:ascii="Georgia" w:hAnsi="Georgia"/>
          <w:sz w:val="20"/>
          <w:szCs w:val="20"/>
        </w:rPr>
        <w:t>og andre ekstra tildelinger på basis.</w:t>
      </w:r>
    </w:p>
    <w:p w:rsidR="00052682" w:rsidRDefault="00052682" w:rsidP="00052682">
      <w:pPr>
        <w:rPr>
          <w:rFonts w:ascii="Georgia" w:hAnsi="Georgia"/>
          <w:sz w:val="20"/>
          <w:szCs w:val="20"/>
        </w:rPr>
      </w:pPr>
    </w:p>
    <w:p w:rsidR="00052682" w:rsidRDefault="00052682" w:rsidP="00052682">
      <w:pPr>
        <w:rPr>
          <w:rFonts w:ascii="Georgia" w:hAnsi="Georgia"/>
          <w:b/>
          <w:sz w:val="20"/>
          <w:szCs w:val="20"/>
        </w:rPr>
      </w:pPr>
      <w:r w:rsidRPr="005743FE">
        <w:rPr>
          <w:rFonts w:ascii="Georgia" w:hAnsi="Georgia"/>
          <w:b/>
          <w:sz w:val="20"/>
          <w:szCs w:val="20"/>
        </w:rPr>
        <w:t>Investeringer</w:t>
      </w:r>
    </w:p>
    <w:p w:rsidR="00052682" w:rsidRDefault="00052682" w:rsidP="00052682">
      <w:pPr>
        <w:rPr>
          <w:rFonts w:ascii="Georgia" w:hAnsi="Georgia"/>
          <w:sz w:val="20"/>
          <w:szCs w:val="20"/>
        </w:rPr>
      </w:pPr>
      <w:r w:rsidRPr="005743FE">
        <w:rPr>
          <w:rFonts w:ascii="Georgia" w:hAnsi="Georgia"/>
          <w:sz w:val="20"/>
          <w:szCs w:val="20"/>
        </w:rPr>
        <w:t>På investeringer</w:t>
      </w:r>
      <w:r>
        <w:rPr>
          <w:rFonts w:ascii="Georgia" w:hAnsi="Georgia"/>
          <w:sz w:val="20"/>
          <w:szCs w:val="20"/>
        </w:rPr>
        <w:t xml:space="preserve"> er det et </w:t>
      </w:r>
      <w:proofErr w:type="spellStart"/>
      <w:r w:rsidR="00764468">
        <w:rPr>
          <w:rFonts w:ascii="Georgia" w:hAnsi="Georgia"/>
          <w:sz w:val="20"/>
          <w:szCs w:val="20"/>
        </w:rPr>
        <w:t>m</w:t>
      </w:r>
      <w:r w:rsidR="003D5ACB">
        <w:rPr>
          <w:rFonts w:ascii="Georgia" w:hAnsi="Georgia"/>
          <w:sz w:val="20"/>
          <w:szCs w:val="20"/>
        </w:rPr>
        <w:t>indre</w:t>
      </w:r>
      <w:r w:rsidR="00764468">
        <w:rPr>
          <w:rFonts w:ascii="Georgia" w:hAnsi="Georgia"/>
          <w:sz w:val="20"/>
          <w:szCs w:val="20"/>
        </w:rPr>
        <w:t>forbruk</w:t>
      </w:r>
      <w:proofErr w:type="spellEnd"/>
      <w:r w:rsidR="00764468">
        <w:rPr>
          <w:rFonts w:ascii="Georgia" w:hAnsi="Georgia"/>
          <w:sz w:val="20"/>
          <w:szCs w:val="20"/>
        </w:rPr>
        <w:t xml:space="preserve"> på ca. </w:t>
      </w:r>
      <w:r w:rsidR="003D5ACB">
        <w:rPr>
          <w:rFonts w:ascii="Georgia" w:hAnsi="Georgia"/>
          <w:sz w:val="20"/>
          <w:szCs w:val="20"/>
        </w:rPr>
        <w:t>0,5</w:t>
      </w:r>
      <w:r w:rsidR="004B7861">
        <w:rPr>
          <w:rFonts w:ascii="Georgia" w:hAnsi="Georgia"/>
          <w:sz w:val="20"/>
          <w:szCs w:val="20"/>
        </w:rPr>
        <w:t xml:space="preserve"> millioner kr</w:t>
      </w:r>
      <w:r w:rsidR="009D6A8E">
        <w:rPr>
          <w:rFonts w:ascii="Georgia" w:hAnsi="Georgia"/>
          <w:sz w:val="20"/>
          <w:szCs w:val="20"/>
        </w:rPr>
        <w:t xml:space="preserve">. </w:t>
      </w:r>
      <w:r w:rsidR="003D5ACB">
        <w:rPr>
          <w:rFonts w:ascii="Georgia" w:hAnsi="Georgia"/>
          <w:sz w:val="20"/>
          <w:szCs w:val="20"/>
        </w:rPr>
        <w:t xml:space="preserve"> </w:t>
      </w:r>
      <w:r w:rsidR="009D6A8E">
        <w:rPr>
          <w:rFonts w:ascii="Georgia" w:hAnsi="Georgia"/>
          <w:sz w:val="20"/>
          <w:szCs w:val="20"/>
        </w:rPr>
        <w:t xml:space="preserve">Avviket skyldes hovedsakelig vitenskapelig utstyr, </w:t>
      </w:r>
      <w:r w:rsidR="0007685A">
        <w:rPr>
          <w:rFonts w:ascii="Georgia" w:hAnsi="Georgia"/>
          <w:sz w:val="20"/>
          <w:szCs w:val="20"/>
        </w:rPr>
        <w:t xml:space="preserve">det er </w:t>
      </w:r>
      <w:r w:rsidR="009D6A8E">
        <w:rPr>
          <w:rFonts w:ascii="Georgia" w:hAnsi="Georgia"/>
          <w:sz w:val="20"/>
          <w:szCs w:val="20"/>
        </w:rPr>
        <w:t>ca.0,4 mill.</w:t>
      </w:r>
      <w:r w:rsidR="003D5ACB">
        <w:rPr>
          <w:rFonts w:ascii="Georgia" w:hAnsi="Georgia"/>
          <w:sz w:val="20"/>
          <w:szCs w:val="20"/>
        </w:rPr>
        <w:t xml:space="preserve"> </w:t>
      </w:r>
      <w:r w:rsidR="009D6A8E">
        <w:rPr>
          <w:rFonts w:ascii="Georgia" w:hAnsi="Georgia"/>
          <w:sz w:val="20"/>
          <w:szCs w:val="20"/>
        </w:rPr>
        <w:t>ble brukt på driftskostnader i stedet investeringer.</w:t>
      </w:r>
    </w:p>
    <w:p w:rsidR="00764468" w:rsidRDefault="00764468" w:rsidP="00052682">
      <w:pPr>
        <w:rPr>
          <w:rFonts w:ascii="Georgia" w:hAnsi="Georgia"/>
          <w:sz w:val="20"/>
          <w:szCs w:val="20"/>
        </w:rPr>
      </w:pPr>
    </w:p>
    <w:p w:rsidR="00052682" w:rsidRDefault="00052682" w:rsidP="00052682">
      <w:pPr>
        <w:rPr>
          <w:rFonts w:ascii="Georgia" w:hAnsi="Georgia"/>
          <w:sz w:val="20"/>
          <w:szCs w:val="20"/>
        </w:rPr>
      </w:pPr>
    </w:p>
    <w:p w:rsidR="0007685A" w:rsidRDefault="0007685A" w:rsidP="00052682">
      <w:pPr>
        <w:rPr>
          <w:rFonts w:ascii="Georgia" w:hAnsi="Georgia"/>
          <w:b/>
          <w:sz w:val="20"/>
          <w:szCs w:val="20"/>
        </w:rPr>
      </w:pPr>
    </w:p>
    <w:p w:rsidR="0007685A" w:rsidRDefault="0007685A" w:rsidP="00052682">
      <w:pPr>
        <w:rPr>
          <w:rFonts w:ascii="Georgia" w:hAnsi="Georgia"/>
          <w:b/>
          <w:sz w:val="20"/>
          <w:szCs w:val="20"/>
        </w:rPr>
      </w:pPr>
    </w:p>
    <w:p w:rsidR="00052682" w:rsidRDefault="00367D4C" w:rsidP="0005268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Nettobidrag fra eksternfinansierte prosjekter og prosjektavslutning</w:t>
      </w:r>
    </w:p>
    <w:p w:rsidR="0007685A" w:rsidRDefault="00367D4C" w:rsidP="00342B74">
      <w:pPr>
        <w:rPr>
          <w:rFonts w:ascii="Georgia" w:hAnsi="Georgia"/>
          <w:sz w:val="20"/>
          <w:szCs w:val="20"/>
        </w:rPr>
      </w:pPr>
      <w:r w:rsidRPr="00367D4C">
        <w:rPr>
          <w:rFonts w:ascii="Georgia" w:hAnsi="Georgia"/>
          <w:sz w:val="20"/>
          <w:szCs w:val="20"/>
        </w:rPr>
        <w:t xml:space="preserve">Nettobidraget </w:t>
      </w:r>
      <w:r w:rsidR="00B85D5C">
        <w:rPr>
          <w:rFonts w:ascii="Georgia" w:hAnsi="Georgia"/>
          <w:sz w:val="20"/>
          <w:szCs w:val="20"/>
        </w:rPr>
        <w:t xml:space="preserve">viser på basis en inntekt på ca. 4 millioner kr. Dette </w:t>
      </w:r>
      <w:r>
        <w:rPr>
          <w:rFonts w:ascii="Georgia" w:hAnsi="Georgia"/>
          <w:sz w:val="20"/>
          <w:szCs w:val="20"/>
        </w:rPr>
        <w:t>er</w:t>
      </w:r>
      <w:r w:rsidRPr="00367D4C">
        <w:rPr>
          <w:rFonts w:ascii="Georgia" w:hAnsi="Georgia"/>
          <w:sz w:val="20"/>
          <w:szCs w:val="20"/>
        </w:rPr>
        <w:t xml:space="preserve"> ca. </w:t>
      </w:r>
      <w:r w:rsidR="005F4F5B">
        <w:rPr>
          <w:rFonts w:ascii="Georgia" w:hAnsi="Georgia"/>
          <w:sz w:val="20"/>
          <w:szCs w:val="20"/>
        </w:rPr>
        <w:t xml:space="preserve">1 million </w:t>
      </w:r>
      <w:r w:rsidR="00B85D5C">
        <w:rPr>
          <w:rFonts w:ascii="Georgia" w:hAnsi="Georgia"/>
          <w:sz w:val="20"/>
          <w:szCs w:val="20"/>
        </w:rPr>
        <w:t xml:space="preserve">mer </w:t>
      </w:r>
      <w:r w:rsidR="00342B74">
        <w:rPr>
          <w:rFonts w:ascii="Georgia" w:hAnsi="Georgia"/>
          <w:sz w:val="20"/>
          <w:szCs w:val="20"/>
        </w:rPr>
        <w:t>enn budsjettert.</w:t>
      </w:r>
    </w:p>
    <w:p w:rsidR="0007685A" w:rsidRDefault="00342B74" w:rsidP="00342B7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C44F9C" w:rsidRPr="00B82D8E" w:rsidRDefault="00B82D8E" w:rsidP="00342B74">
      <w:pPr>
        <w:rPr>
          <w:rFonts w:ascii="Georgia" w:hAnsi="Georgia"/>
          <w:sz w:val="20"/>
          <w:szCs w:val="20"/>
        </w:rPr>
      </w:pPr>
      <w:r w:rsidRPr="00B82D8E">
        <w:rPr>
          <w:rFonts w:ascii="Georgia" w:hAnsi="Georgia"/>
          <w:sz w:val="20"/>
          <w:szCs w:val="20"/>
        </w:rPr>
        <w:t>Nettobidraget i tabellen for basis er 0,4 millioner kr. høyere enn i tabellen for eksternt finansiert virksomhet (EFV). Dette skyldes at det for EFV kun vises tall fra egen prosjektportefølje, mens det på basis også vises inntekter fra prosjekter ved andre institutter.</w:t>
      </w:r>
    </w:p>
    <w:p w:rsidR="00052682" w:rsidRPr="005743FE" w:rsidRDefault="00052682" w:rsidP="00052682">
      <w:pPr>
        <w:rPr>
          <w:rFonts w:ascii="Georgia" w:hAnsi="Georgia"/>
          <w:sz w:val="20"/>
          <w:szCs w:val="20"/>
        </w:rPr>
      </w:pPr>
    </w:p>
    <w:p w:rsidR="00052682" w:rsidRPr="005349FD" w:rsidRDefault="00052682" w:rsidP="00052682">
      <w:pPr>
        <w:rPr>
          <w:rFonts w:ascii="Georgia" w:hAnsi="Georgia"/>
          <w:b/>
          <w:sz w:val="20"/>
          <w:szCs w:val="20"/>
        </w:rPr>
      </w:pPr>
      <w:r w:rsidRPr="000E66B1">
        <w:rPr>
          <w:rFonts w:ascii="Georgia" w:hAnsi="Georgia"/>
          <w:b/>
          <w:sz w:val="20"/>
          <w:szCs w:val="20"/>
        </w:rPr>
        <w:t xml:space="preserve">Prognose </w:t>
      </w:r>
      <w:r>
        <w:rPr>
          <w:rFonts w:ascii="Georgia" w:hAnsi="Georgia"/>
          <w:b/>
          <w:sz w:val="20"/>
          <w:szCs w:val="20"/>
        </w:rPr>
        <w:t xml:space="preserve">pr </w:t>
      </w:r>
      <w:r w:rsidRPr="00C93267">
        <w:rPr>
          <w:rFonts w:ascii="Georgia" w:hAnsi="Georgia"/>
          <w:b/>
          <w:color w:val="000000" w:themeColor="text1"/>
          <w:sz w:val="20"/>
          <w:szCs w:val="20"/>
        </w:rPr>
        <w:t>1</w:t>
      </w:r>
      <w:r w:rsidR="00764468">
        <w:rPr>
          <w:rFonts w:ascii="Georgia" w:hAnsi="Georgia"/>
          <w:b/>
          <w:color w:val="000000" w:themeColor="text1"/>
          <w:sz w:val="20"/>
          <w:szCs w:val="20"/>
        </w:rPr>
        <w:t>3.12.19</w:t>
      </w:r>
    </w:p>
    <w:p w:rsidR="00E06811" w:rsidRPr="00437D57" w:rsidRDefault="00052682" w:rsidP="00052682">
      <w:pPr>
        <w:rPr>
          <w:rFonts w:ascii="Georgia" w:hAnsi="Georgia"/>
          <w:sz w:val="20"/>
          <w:szCs w:val="20"/>
        </w:rPr>
      </w:pPr>
      <w:r w:rsidRPr="00437D57">
        <w:rPr>
          <w:rFonts w:ascii="Georgia" w:hAnsi="Georgia"/>
          <w:sz w:val="20"/>
          <w:szCs w:val="20"/>
        </w:rPr>
        <w:t xml:space="preserve">Prognosen pr </w:t>
      </w:r>
      <w:r w:rsidR="00764468" w:rsidRPr="00437D57">
        <w:rPr>
          <w:rFonts w:ascii="Georgia" w:hAnsi="Georgia"/>
          <w:sz w:val="20"/>
          <w:szCs w:val="20"/>
        </w:rPr>
        <w:t>13.12.19</w:t>
      </w:r>
      <w:r w:rsidRPr="00437D57">
        <w:rPr>
          <w:rFonts w:ascii="Georgia" w:hAnsi="Georgia"/>
          <w:sz w:val="20"/>
          <w:szCs w:val="20"/>
        </w:rPr>
        <w:t xml:space="preserve"> anslo et </w:t>
      </w:r>
      <w:r w:rsidR="00764468" w:rsidRPr="00437D57">
        <w:rPr>
          <w:rFonts w:ascii="Georgia" w:hAnsi="Georgia"/>
          <w:sz w:val="20"/>
          <w:szCs w:val="20"/>
        </w:rPr>
        <w:t xml:space="preserve">isolert </w:t>
      </w:r>
      <w:r w:rsidRPr="00437D57">
        <w:rPr>
          <w:rFonts w:ascii="Georgia" w:hAnsi="Georgia"/>
          <w:sz w:val="20"/>
          <w:szCs w:val="20"/>
        </w:rPr>
        <w:t>m</w:t>
      </w:r>
      <w:r w:rsidR="0021046D" w:rsidRPr="00437D57">
        <w:rPr>
          <w:rFonts w:ascii="Georgia" w:hAnsi="Georgia"/>
          <w:sz w:val="20"/>
          <w:szCs w:val="20"/>
        </w:rPr>
        <w:t>er</w:t>
      </w:r>
      <w:r w:rsidRPr="00437D57">
        <w:rPr>
          <w:rFonts w:ascii="Georgia" w:hAnsi="Georgia"/>
          <w:sz w:val="20"/>
          <w:szCs w:val="20"/>
        </w:rPr>
        <w:t>forbruk på ca.</w:t>
      </w:r>
      <w:r w:rsidR="0021046D" w:rsidRPr="00437D57">
        <w:rPr>
          <w:rFonts w:ascii="Georgia" w:hAnsi="Georgia"/>
          <w:sz w:val="20"/>
          <w:szCs w:val="20"/>
        </w:rPr>
        <w:t>1,3</w:t>
      </w:r>
      <w:r w:rsidRPr="00437D57">
        <w:rPr>
          <w:rFonts w:ascii="Georgia" w:hAnsi="Georgia"/>
          <w:sz w:val="20"/>
          <w:szCs w:val="20"/>
        </w:rPr>
        <w:t xml:space="preserve"> </w:t>
      </w:r>
      <w:r w:rsidR="0021046D" w:rsidRPr="00437D57">
        <w:rPr>
          <w:rFonts w:ascii="Georgia" w:hAnsi="Georgia"/>
          <w:sz w:val="20"/>
          <w:szCs w:val="20"/>
        </w:rPr>
        <w:t>m</w:t>
      </w:r>
      <w:r w:rsidRPr="00437D57">
        <w:rPr>
          <w:rFonts w:ascii="Georgia" w:hAnsi="Georgia"/>
          <w:sz w:val="20"/>
          <w:szCs w:val="20"/>
        </w:rPr>
        <w:t>illioner kr</w:t>
      </w:r>
      <w:r w:rsidR="00764468" w:rsidRPr="00437D57">
        <w:rPr>
          <w:rFonts w:ascii="Georgia" w:hAnsi="Georgia"/>
          <w:sz w:val="20"/>
          <w:szCs w:val="20"/>
        </w:rPr>
        <w:t xml:space="preserve"> i 2019, det vil si</w:t>
      </w:r>
      <w:r w:rsidRPr="00437D57">
        <w:rPr>
          <w:rFonts w:ascii="Georgia" w:hAnsi="Georgia"/>
          <w:sz w:val="20"/>
          <w:szCs w:val="20"/>
        </w:rPr>
        <w:t xml:space="preserve"> </w:t>
      </w:r>
      <w:r w:rsidR="0085746E" w:rsidRPr="00437D57">
        <w:rPr>
          <w:rFonts w:ascii="Georgia" w:hAnsi="Georgia"/>
          <w:sz w:val="20"/>
          <w:szCs w:val="20"/>
        </w:rPr>
        <w:t>1</w:t>
      </w:r>
      <w:r w:rsidR="0069072E" w:rsidRPr="00437D57">
        <w:rPr>
          <w:rFonts w:ascii="Georgia" w:hAnsi="Georgia"/>
          <w:sz w:val="20"/>
          <w:szCs w:val="20"/>
        </w:rPr>
        <w:t>,2</w:t>
      </w:r>
      <w:r w:rsidR="00C17D10" w:rsidRPr="00437D57">
        <w:rPr>
          <w:rFonts w:ascii="Georgia" w:hAnsi="Georgia"/>
          <w:sz w:val="20"/>
          <w:szCs w:val="20"/>
        </w:rPr>
        <w:t xml:space="preserve"> million kr </w:t>
      </w:r>
      <w:r w:rsidR="0069072E" w:rsidRPr="00437D57">
        <w:rPr>
          <w:rFonts w:ascii="Georgia" w:hAnsi="Georgia"/>
          <w:sz w:val="20"/>
          <w:szCs w:val="20"/>
        </w:rPr>
        <w:t>mer</w:t>
      </w:r>
      <w:r w:rsidR="00C17D10" w:rsidRPr="00437D57">
        <w:rPr>
          <w:rFonts w:ascii="Georgia" w:hAnsi="Georgia"/>
          <w:sz w:val="20"/>
          <w:szCs w:val="20"/>
        </w:rPr>
        <w:t xml:space="preserve"> enn faktisk resultat</w:t>
      </w:r>
      <w:r w:rsidR="005405C3" w:rsidRPr="00437D57">
        <w:rPr>
          <w:rFonts w:ascii="Georgia" w:hAnsi="Georgia"/>
          <w:sz w:val="20"/>
          <w:szCs w:val="20"/>
        </w:rPr>
        <w:t xml:space="preserve"> </w:t>
      </w:r>
      <w:r w:rsidRPr="00437D57">
        <w:rPr>
          <w:rFonts w:ascii="Georgia" w:hAnsi="Georgia"/>
          <w:sz w:val="20"/>
          <w:szCs w:val="20"/>
        </w:rPr>
        <w:t>pr 31.12.1</w:t>
      </w:r>
      <w:r w:rsidR="0069072E" w:rsidRPr="00437D57">
        <w:rPr>
          <w:rFonts w:ascii="Georgia" w:hAnsi="Georgia"/>
          <w:sz w:val="20"/>
          <w:szCs w:val="20"/>
        </w:rPr>
        <w:t xml:space="preserve">9 på </w:t>
      </w:r>
      <w:r w:rsidR="0085746E" w:rsidRPr="00437D57">
        <w:rPr>
          <w:rFonts w:ascii="Georgia" w:hAnsi="Georgia"/>
          <w:sz w:val="20"/>
          <w:szCs w:val="20"/>
        </w:rPr>
        <w:t xml:space="preserve">ca. </w:t>
      </w:r>
      <w:r w:rsidR="005E15DF" w:rsidRPr="00437D57">
        <w:rPr>
          <w:rFonts w:ascii="Georgia" w:hAnsi="Georgia"/>
          <w:sz w:val="20"/>
          <w:szCs w:val="20"/>
        </w:rPr>
        <w:t>82 100</w:t>
      </w:r>
      <w:r w:rsidRPr="00437D57">
        <w:rPr>
          <w:rFonts w:ascii="Georgia" w:hAnsi="Georgia"/>
          <w:sz w:val="20"/>
          <w:szCs w:val="20"/>
        </w:rPr>
        <w:t xml:space="preserve">. </w:t>
      </w:r>
    </w:p>
    <w:p w:rsidR="00342B74" w:rsidRDefault="00342B74" w:rsidP="0005268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Avviket mellom prognose for 2019 og faktisk resultat for 2019 skyldes høyere offentlige refusjoner, som reduserer personalkostnader, lavere driftskostnader og høyere nettobidrag.</w:t>
      </w:r>
    </w:p>
    <w:p w:rsidR="00E06811" w:rsidRDefault="00E06811" w:rsidP="00052682">
      <w:pPr>
        <w:rPr>
          <w:rFonts w:ascii="Georgia" w:hAnsi="Georgia"/>
          <w:sz w:val="20"/>
          <w:szCs w:val="20"/>
        </w:rPr>
      </w:pPr>
    </w:p>
    <w:p w:rsidR="00052682" w:rsidRPr="0007685A" w:rsidRDefault="005349FD" w:rsidP="007E2EE6">
      <w:pPr>
        <w:rPr>
          <w:rFonts w:ascii="Georgia" w:hAnsi="Georgia"/>
          <w:sz w:val="20"/>
          <w:szCs w:val="20"/>
        </w:rPr>
      </w:pPr>
      <w:r w:rsidRPr="0007685A">
        <w:rPr>
          <w:rFonts w:ascii="Georgia" w:hAnsi="Georgia"/>
          <w:sz w:val="20"/>
          <w:szCs w:val="20"/>
        </w:rPr>
        <w:t>Siste langtidsprognose</w:t>
      </w:r>
      <w:r w:rsidR="0069072E" w:rsidRPr="0007685A">
        <w:rPr>
          <w:rFonts w:ascii="Georgia" w:hAnsi="Georgia"/>
          <w:sz w:val="20"/>
          <w:szCs w:val="20"/>
        </w:rPr>
        <w:t xml:space="preserve"> i desember 2019</w:t>
      </w:r>
      <w:r w:rsidRPr="0007685A">
        <w:rPr>
          <w:rFonts w:ascii="Georgia" w:hAnsi="Georgia"/>
          <w:sz w:val="20"/>
          <w:szCs w:val="20"/>
        </w:rPr>
        <w:t xml:space="preserve"> viser </w:t>
      </w:r>
      <w:r w:rsidR="00830AFE" w:rsidRPr="0007685A">
        <w:rPr>
          <w:rFonts w:ascii="Georgia" w:hAnsi="Georgia"/>
          <w:sz w:val="20"/>
          <w:szCs w:val="20"/>
        </w:rPr>
        <w:t>et akku</w:t>
      </w:r>
      <w:r w:rsidR="0069072E" w:rsidRPr="0007685A">
        <w:rPr>
          <w:rFonts w:ascii="Georgia" w:hAnsi="Georgia"/>
          <w:sz w:val="20"/>
          <w:szCs w:val="20"/>
        </w:rPr>
        <w:t xml:space="preserve">mulert merforbruk i 2024 på </w:t>
      </w:r>
      <w:r w:rsidR="0021046D" w:rsidRPr="0007685A">
        <w:rPr>
          <w:rFonts w:ascii="Georgia" w:hAnsi="Georgia"/>
          <w:sz w:val="20"/>
          <w:szCs w:val="20"/>
        </w:rPr>
        <w:t>12,8</w:t>
      </w:r>
      <w:r w:rsidR="00830AFE" w:rsidRPr="0007685A">
        <w:rPr>
          <w:rFonts w:ascii="Georgia" w:hAnsi="Georgia"/>
          <w:sz w:val="20"/>
          <w:szCs w:val="20"/>
        </w:rPr>
        <w:t xml:space="preserve"> millioner kr.</w:t>
      </w:r>
      <w:r w:rsidR="00B632EB" w:rsidRPr="0007685A">
        <w:rPr>
          <w:rFonts w:ascii="Georgia" w:hAnsi="Georgia"/>
          <w:sz w:val="20"/>
          <w:szCs w:val="20"/>
        </w:rPr>
        <w:t xml:space="preserve"> </w:t>
      </w:r>
      <w:r w:rsidR="0069072E" w:rsidRPr="0007685A">
        <w:rPr>
          <w:rFonts w:ascii="Georgia" w:hAnsi="Georgia"/>
          <w:sz w:val="20"/>
          <w:szCs w:val="20"/>
        </w:rPr>
        <w:t xml:space="preserve">Når faktisk resultat foreligger for 2019 er nytt akkumulert merforbruk på </w:t>
      </w:r>
      <w:r w:rsidR="0085746E" w:rsidRPr="0007685A">
        <w:rPr>
          <w:rFonts w:ascii="Georgia" w:hAnsi="Georgia"/>
          <w:sz w:val="20"/>
          <w:szCs w:val="20"/>
        </w:rPr>
        <w:t>11,6</w:t>
      </w:r>
      <w:r w:rsidR="0069072E" w:rsidRPr="0007685A">
        <w:rPr>
          <w:rFonts w:ascii="Georgia" w:hAnsi="Georgia"/>
          <w:sz w:val="20"/>
          <w:szCs w:val="20"/>
        </w:rPr>
        <w:t xml:space="preserve"> millioner kr. </w:t>
      </w:r>
    </w:p>
    <w:p w:rsidR="00492DD5" w:rsidRDefault="00492DD5" w:rsidP="007E2EE6">
      <w:pPr>
        <w:rPr>
          <w:rFonts w:ascii="Georgia" w:hAnsi="Georgia"/>
          <w:sz w:val="20"/>
          <w:szCs w:val="20"/>
        </w:rPr>
      </w:pPr>
    </w:p>
    <w:p w:rsidR="005F4F5B" w:rsidRDefault="005F4F5B" w:rsidP="005F4F5B">
      <w:pPr>
        <w:rPr>
          <w:rFonts w:ascii="Georgia" w:hAnsi="Georgia"/>
          <w:sz w:val="20"/>
          <w:szCs w:val="20"/>
        </w:rPr>
      </w:pPr>
    </w:p>
    <w:p w:rsidR="005F4F5B" w:rsidRPr="00A70776" w:rsidRDefault="005F4F5B" w:rsidP="005F4F5B">
      <w:pPr>
        <w:spacing w:line="276" w:lineRule="auto"/>
        <w:rPr>
          <w:rFonts w:ascii="Georgia" w:hAnsi="Georgia"/>
          <w:b/>
        </w:rPr>
      </w:pPr>
      <w:r w:rsidRPr="00A70776">
        <w:rPr>
          <w:rFonts w:ascii="Georgia" w:hAnsi="Georgia"/>
          <w:b/>
        </w:rPr>
        <w:t>Eksternt finansiert virksomhet</w:t>
      </w:r>
    </w:p>
    <w:p w:rsidR="005F4F5B" w:rsidRPr="00A70776" w:rsidRDefault="005F4F5B" w:rsidP="005F4F5B">
      <w:pPr>
        <w:spacing w:line="276" w:lineRule="auto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3914E074" wp14:editId="70F39ADA">
            <wp:extent cx="5731510" cy="19100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V-tabell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5B" w:rsidRPr="00FC2077" w:rsidRDefault="005F4F5B" w:rsidP="005F4F5B">
      <w:pPr>
        <w:spacing w:after="200" w:line="276" w:lineRule="auto"/>
        <w:rPr>
          <w:rFonts w:ascii="Georgia" w:eastAsia="Calibri" w:hAnsi="Georgia" w:cs="Times New Roman"/>
          <w:i/>
          <w:color w:val="000000" w:themeColor="text1"/>
          <w:sz w:val="20"/>
          <w:szCs w:val="20"/>
        </w:rPr>
      </w:pPr>
      <w:r>
        <w:rPr>
          <w:rFonts w:ascii="Georgia" w:eastAsia="Calibri" w:hAnsi="Georgia" w:cs="Times New Roman"/>
          <w:i/>
          <w:color w:val="000000" w:themeColor="text1"/>
          <w:sz w:val="20"/>
          <w:szCs w:val="20"/>
        </w:rPr>
        <w:t>Tabellen viser EFV årsregnskap for 2018 og årsregnskap for 2019 mot budsjett 2019</w:t>
      </w:r>
      <w:r w:rsidRPr="00FC2077">
        <w:rPr>
          <w:rFonts w:ascii="Georgia" w:eastAsia="Calibri" w:hAnsi="Georgia" w:cs="Times New Roman"/>
          <w:i/>
          <w:color w:val="000000" w:themeColor="text1"/>
          <w:sz w:val="20"/>
          <w:szCs w:val="20"/>
        </w:rPr>
        <w:t>.</w:t>
      </w:r>
    </w:p>
    <w:p w:rsidR="005F4F5B" w:rsidRPr="00646FC9" w:rsidRDefault="005F4F5B" w:rsidP="005F4F5B">
      <w:pPr>
        <w:spacing w:after="200" w:line="276" w:lineRule="auto"/>
        <w:rPr>
          <w:rFonts w:ascii="Georgia" w:eastAsia="Calibri" w:hAnsi="Georgia" w:cs="Times New Roman"/>
          <w:color w:val="000000" w:themeColor="text1"/>
          <w:sz w:val="20"/>
          <w:szCs w:val="20"/>
        </w:rPr>
      </w:pPr>
      <w:r w:rsidRPr="00211184">
        <w:rPr>
          <w:rFonts w:ascii="Georgia" w:eastAsia="Calibri" w:hAnsi="Georgia" w:cs="Times New Roman"/>
          <w:b/>
          <w:color w:val="000000" w:themeColor="text1"/>
          <w:sz w:val="20"/>
          <w:szCs w:val="20"/>
        </w:rPr>
        <w:t xml:space="preserve">Inntektene </w:t>
      </w:r>
      <w:r w:rsidRPr="00211184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er 1,0 millioner kr. lavere enn budsjettert </w:t>
      </w:r>
      <w:r w:rsidRPr="0097434A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og skyldes en kombinasjon av </w:t>
      </w:r>
      <w:proofErr w:type="spellStart"/>
      <w:r w:rsidRPr="0097434A">
        <w:rPr>
          <w:rFonts w:ascii="Georgia" w:eastAsia="Calibri" w:hAnsi="Georgia" w:cs="Times New Roman"/>
          <w:color w:val="000000" w:themeColor="text1"/>
          <w:sz w:val="20"/>
          <w:szCs w:val="20"/>
        </w:rPr>
        <w:t>mindreforbruk</w:t>
      </w:r>
      <w:proofErr w:type="spellEnd"/>
      <w:r w:rsidRPr="0097434A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 på HUMEVAL-prosjektet og periodisering på samme prosjekt, da det faktureres etterskuddsvis.</w:t>
      </w:r>
    </w:p>
    <w:p w:rsidR="005F4F5B" w:rsidRPr="00341E7C" w:rsidRDefault="005F4F5B" w:rsidP="005F4F5B">
      <w:pPr>
        <w:spacing w:after="200" w:line="276" w:lineRule="auto"/>
        <w:rPr>
          <w:rFonts w:ascii="Georgia" w:eastAsia="Calibri" w:hAnsi="Georgia" w:cs="Times New Roman"/>
          <w:color w:val="000000" w:themeColor="text1"/>
          <w:sz w:val="20"/>
          <w:szCs w:val="20"/>
          <w:highlight w:val="yellow"/>
        </w:rPr>
      </w:pPr>
      <w:r w:rsidRPr="00646FC9">
        <w:rPr>
          <w:rFonts w:ascii="Georgia" w:eastAsia="Calibri" w:hAnsi="Georgia" w:cs="Times New Roman"/>
          <w:b/>
          <w:color w:val="000000" w:themeColor="text1"/>
          <w:sz w:val="20"/>
          <w:szCs w:val="20"/>
        </w:rPr>
        <w:t xml:space="preserve">Personalkostnadene </w:t>
      </w:r>
      <w:r w:rsidRPr="00646FC9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er 0,1 millioner kr. 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>høyere enn budsjettert.</w:t>
      </w:r>
    </w:p>
    <w:p w:rsidR="005F4F5B" w:rsidRPr="00341E7C" w:rsidRDefault="005F4F5B" w:rsidP="005F4F5B">
      <w:pPr>
        <w:spacing w:after="200" w:line="276" w:lineRule="auto"/>
        <w:rPr>
          <w:rFonts w:ascii="Georgia" w:eastAsia="Calibri" w:hAnsi="Georgia" w:cs="Times New Roman"/>
          <w:color w:val="000000" w:themeColor="text1"/>
          <w:sz w:val="20"/>
          <w:szCs w:val="20"/>
          <w:highlight w:val="yellow"/>
        </w:rPr>
      </w:pPr>
      <w:r w:rsidRPr="00646FC9">
        <w:rPr>
          <w:rFonts w:ascii="Georgia" w:eastAsia="Calibri" w:hAnsi="Georgia" w:cs="Times New Roman"/>
          <w:b/>
          <w:color w:val="000000" w:themeColor="text1"/>
          <w:sz w:val="20"/>
          <w:szCs w:val="20"/>
        </w:rPr>
        <w:t>Driftskostnadene</w:t>
      </w:r>
      <w:r w:rsidRPr="00646FC9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 er 0,9 millioner kr. lavere en</w:t>
      </w:r>
      <w:r w:rsidRPr="00134BAC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n budsjettert. Dette 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tilskriver seg </w:t>
      </w:r>
      <w:proofErr w:type="spellStart"/>
      <w:r w:rsidRPr="00134BAC">
        <w:rPr>
          <w:rFonts w:ascii="Georgia" w:eastAsia="Calibri" w:hAnsi="Georgia" w:cs="Times New Roman"/>
          <w:color w:val="000000" w:themeColor="text1"/>
          <w:sz w:val="20"/>
          <w:szCs w:val="20"/>
        </w:rPr>
        <w:t>mindreforbruk</w:t>
      </w:r>
      <w:proofErr w:type="spellEnd"/>
      <w:r w:rsidRPr="00134BAC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 på HUMEVAL-prosjek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>t</w:t>
      </w:r>
      <w:r w:rsidRPr="00134BAC">
        <w:rPr>
          <w:rFonts w:ascii="Georgia" w:eastAsia="Calibri" w:hAnsi="Georgia" w:cs="Times New Roman"/>
          <w:color w:val="000000" w:themeColor="text1"/>
          <w:sz w:val="20"/>
          <w:szCs w:val="20"/>
        </w:rPr>
        <w:t>et.</w:t>
      </w:r>
    </w:p>
    <w:p w:rsidR="005F4F5B" w:rsidRPr="003C68DF" w:rsidRDefault="005F4F5B" w:rsidP="005F4F5B">
      <w:pPr>
        <w:spacing w:after="200" w:line="276" w:lineRule="auto"/>
        <w:rPr>
          <w:rFonts w:ascii="Georgia" w:eastAsia="Calibri" w:hAnsi="Georgia" w:cs="Times New Roman"/>
          <w:color w:val="000000" w:themeColor="text1"/>
          <w:sz w:val="20"/>
          <w:szCs w:val="20"/>
        </w:rPr>
      </w:pPr>
      <w:r w:rsidRPr="00A7331C">
        <w:rPr>
          <w:rFonts w:ascii="Georgia" w:eastAsia="Calibri" w:hAnsi="Georgia" w:cs="Times New Roman"/>
          <w:b/>
          <w:color w:val="000000" w:themeColor="text1"/>
          <w:sz w:val="20"/>
          <w:szCs w:val="20"/>
        </w:rPr>
        <w:t xml:space="preserve">Nettobidraget </w:t>
      </w:r>
      <w:r w:rsidRPr="00A7331C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er 0,6 millioner kr. 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>høyere</w:t>
      </w:r>
      <w:r w:rsidRPr="00A7331C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 enn budsjettert. </w:t>
      </w:r>
      <w:r w:rsidRPr="003C68DF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Dette skyldes 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hovedsakelig </w:t>
      </w:r>
      <w:r w:rsidRPr="003C68DF">
        <w:rPr>
          <w:rFonts w:ascii="Georgia" w:eastAsia="Calibri" w:hAnsi="Georgia" w:cs="Times New Roman"/>
          <w:color w:val="000000" w:themeColor="text1"/>
          <w:sz w:val="20"/>
          <w:szCs w:val="20"/>
        </w:rPr>
        <w:t>høyere tilslag på nye prosjekter enn budsjettert.</w:t>
      </w:r>
    </w:p>
    <w:p w:rsidR="005F4F5B" w:rsidRPr="00FC2077" w:rsidRDefault="005F4F5B" w:rsidP="005F4F5B">
      <w:pPr>
        <w:spacing w:after="200" w:line="276" w:lineRule="auto"/>
        <w:rPr>
          <w:sz w:val="20"/>
          <w:szCs w:val="20"/>
        </w:rPr>
      </w:pPr>
      <w:r w:rsidRPr="003512E0">
        <w:rPr>
          <w:rFonts w:ascii="Georgia" w:eastAsia="Calibri" w:hAnsi="Georgia" w:cs="Times New Roman"/>
          <w:b/>
          <w:color w:val="000000" w:themeColor="text1"/>
          <w:sz w:val="20"/>
          <w:szCs w:val="20"/>
        </w:rPr>
        <w:t>Saldoen</w:t>
      </w:r>
      <w:r w:rsidRPr="003512E0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 i 2019 er redusert med 1,5 mill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>ioner</w:t>
      </w:r>
      <w:r w:rsidRPr="003512E0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 kr. sammenlignet med 2018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, dvs. et isolert merforbruk. Årsaken til at det fortsatt er et relativt stort akkumulert </w:t>
      </w:r>
      <w:proofErr w:type="spellStart"/>
      <w:r>
        <w:rPr>
          <w:rFonts w:ascii="Georgia" w:eastAsia="Calibri" w:hAnsi="Georgia" w:cs="Times New Roman"/>
          <w:color w:val="000000" w:themeColor="text1"/>
          <w:sz w:val="20"/>
          <w:szCs w:val="20"/>
        </w:rPr>
        <w:t>mindreforbruk</w:t>
      </w:r>
      <w:proofErr w:type="spellEnd"/>
      <w:r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, er pga. et prosjekt hvor </w:t>
      </w:r>
      <w:proofErr w:type="spellStart"/>
      <w:r>
        <w:rPr>
          <w:rFonts w:ascii="Georgia" w:eastAsia="Calibri" w:hAnsi="Georgia" w:cs="Times New Roman"/>
          <w:color w:val="000000" w:themeColor="text1"/>
          <w:sz w:val="20"/>
          <w:szCs w:val="20"/>
        </w:rPr>
        <w:t>finansiør</w:t>
      </w:r>
      <w:proofErr w:type="spellEnd"/>
      <w:r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 Justisdepartementet har overført alle midler på forskudd.</w:t>
      </w:r>
    </w:p>
    <w:p w:rsidR="005F4F5B" w:rsidRDefault="005F4F5B" w:rsidP="005F4F5B">
      <w:pPr>
        <w:spacing w:after="200" w:line="276" w:lineRule="auto"/>
        <w:rPr>
          <w:rFonts w:ascii="Georgia" w:hAnsi="Georgia"/>
          <w:bCs/>
          <w:i/>
          <w:sz w:val="20"/>
          <w:szCs w:val="20"/>
        </w:rPr>
      </w:pPr>
      <w:r w:rsidRPr="00FC2077">
        <w:rPr>
          <w:rFonts w:ascii="Georgia" w:hAnsi="Georgia"/>
          <w:bCs/>
          <w:i/>
          <w:sz w:val="20"/>
          <w:szCs w:val="20"/>
        </w:rPr>
        <w:t>De to neste tabellene</w:t>
      </w:r>
      <w:r>
        <w:rPr>
          <w:rFonts w:ascii="Georgia" w:hAnsi="Georgia"/>
          <w:bCs/>
          <w:i/>
          <w:sz w:val="20"/>
          <w:szCs w:val="20"/>
        </w:rPr>
        <w:t xml:space="preserve"> viser prosjektsøknader for 2019</w:t>
      </w:r>
      <w:r w:rsidRPr="00FC2077">
        <w:rPr>
          <w:rFonts w:ascii="Georgia" w:hAnsi="Georgia"/>
          <w:bCs/>
          <w:i/>
          <w:sz w:val="20"/>
          <w:szCs w:val="20"/>
        </w:rPr>
        <w:t xml:space="preserve"> sammenlignet med 201</w:t>
      </w:r>
      <w:r>
        <w:rPr>
          <w:rFonts w:ascii="Georgia" w:hAnsi="Georgia"/>
          <w:bCs/>
          <w:i/>
          <w:sz w:val="20"/>
          <w:szCs w:val="20"/>
        </w:rPr>
        <w:t>8</w:t>
      </w:r>
      <w:r w:rsidRPr="00FC2077">
        <w:rPr>
          <w:rFonts w:ascii="Georgia" w:hAnsi="Georgia"/>
          <w:bCs/>
          <w:i/>
          <w:sz w:val="20"/>
          <w:szCs w:val="20"/>
        </w:rPr>
        <w:t>.</w:t>
      </w:r>
    </w:p>
    <w:p w:rsidR="005F4F5B" w:rsidRPr="001066E3" w:rsidRDefault="005F4F5B" w:rsidP="005F4F5B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eastAsia="Calibri" w:hAnsi="Georgia" w:cs="Times New Roman"/>
          <w:b/>
          <w:noProof/>
          <w:color w:val="000000" w:themeColor="text1"/>
          <w:sz w:val="20"/>
          <w:szCs w:val="20"/>
          <w:lang w:eastAsia="nb-NO"/>
        </w:rPr>
        <w:lastRenderedPageBreak/>
        <w:drawing>
          <wp:inline distT="0" distB="0" distL="0" distR="0" wp14:anchorId="4C889FCB" wp14:editId="30671FAA">
            <wp:extent cx="2839451" cy="14919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V-tabell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655" cy="15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7190">
        <w:rPr>
          <w:rFonts w:ascii="Georgia" w:eastAsia="Calibri" w:hAnsi="Georgia" w:cs="Times New Roman"/>
          <w:b/>
          <w:color w:val="000000" w:themeColor="text1"/>
          <w:sz w:val="20"/>
          <w:szCs w:val="20"/>
        </w:rPr>
        <w:br/>
      </w:r>
      <w:r>
        <w:rPr>
          <w:rFonts w:ascii="Georgia" w:eastAsia="Calibri" w:hAnsi="Georgia" w:cs="Times New Roman"/>
          <w:b/>
          <w:color w:val="000000" w:themeColor="text1"/>
          <w:sz w:val="20"/>
          <w:szCs w:val="20"/>
        </w:rPr>
        <w:br/>
      </w:r>
      <w:r w:rsidRPr="00997D69">
        <w:rPr>
          <w:rFonts w:ascii="Georgia" w:eastAsia="Calibri" w:hAnsi="Georgia" w:cs="Times New Roman"/>
          <w:b/>
          <w:color w:val="000000" w:themeColor="text1"/>
          <w:sz w:val="20"/>
          <w:szCs w:val="20"/>
        </w:rPr>
        <w:t xml:space="preserve">Antall prosjektsøknader </w:t>
      </w:r>
      <w:r w:rsidRPr="00997D69">
        <w:rPr>
          <w:rFonts w:ascii="Georgia" w:eastAsia="Calibri" w:hAnsi="Georgia" w:cs="Times New Roman"/>
          <w:color w:val="000000" w:themeColor="text1"/>
          <w:sz w:val="20"/>
          <w:szCs w:val="20"/>
        </w:rPr>
        <w:t>er identisk med 2019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>, men d</w:t>
      </w:r>
      <w:r w:rsidRPr="00997D69">
        <w:rPr>
          <w:rFonts w:ascii="Georgia" w:eastAsia="Calibri" w:hAnsi="Georgia" w:cs="Times New Roman"/>
          <w:color w:val="000000" w:themeColor="text1"/>
          <w:sz w:val="20"/>
          <w:szCs w:val="20"/>
        </w:rPr>
        <w:t>et er noe endring innenfor de ulike søknadskategoriene.</w:t>
      </w:r>
      <w:r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 </w:t>
      </w:r>
      <w:r w:rsidRPr="00997D69">
        <w:rPr>
          <w:rFonts w:ascii="Georgia" w:eastAsia="Calibri" w:hAnsi="Georgia" w:cs="Times New Roman"/>
          <w:color w:val="000000" w:themeColor="text1"/>
          <w:sz w:val="20"/>
          <w:szCs w:val="20"/>
        </w:rPr>
        <w:t xml:space="preserve">Det ble innvilget 11 prosjekter i 2018 og 8 prosjekter i 2019. </w:t>
      </w:r>
    </w:p>
    <w:p w:rsidR="005F4F5B" w:rsidRPr="00843DBC" w:rsidRDefault="005F4F5B" w:rsidP="005F4F5B">
      <w:pPr>
        <w:pStyle w:val="NoSpacing"/>
      </w:pPr>
    </w:p>
    <w:p w:rsidR="005F4F5B" w:rsidRPr="0096704F" w:rsidRDefault="005F4F5B" w:rsidP="005F4F5B">
      <w:pPr>
        <w:spacing w:after="200" w:line="276" w:lineRule="auto"/>
        <w:rPr>
          <w:rFonts w:ascii="Georgia" w:eastAsia="Calibri" w:hAnsi="Georgia" w:cs="Times New Roman"/>
          <w:color w:val="000000" w:themeColor="text1"/>
        </w:rPr>
      </w:pPr>
      <w:r>
        <w:rPr>
          <w:rFonts w:ascii="Georgia" w:eastAsia="Calibri" w:hAnsi="Georgia" w:cs="Times New Roman"/>
          <w:noProof/>
          <w:color w:val="000000" w:themeColor="text1"/>
          <w:lang w:eastAsia="nb-NO"/>
        </w:rPr>
        <w:drawing>
          <wp:inline distT="0" distB="0" distL="0" distR="0" wp14:anchorId="7F368C54" wp14:editId="6AB26EF8">
            <wp:extent cx="4852613" cy="14833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V-tabell 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"/>
                    <a:stretch/>
                  </pic:blipFill>
                  <pic:spPr bwMode="auto">
                    <a:xfrm>
                      <a:off x="0" y="0"/>
                      <a:ext cx="4854363" cy="14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F5B" w:rsidRPr="009C3B34" w:rsidRDefault="005F4F5B" w:rsidP="005F4F5B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 w:rsidRPr="009C3B34">
        <w:rPr>
          <w:rFonts w:ascii="Georgia" w:hAnsi="Georgia"/>
          <w:b/>
          <w:color w:val="000000" w:themeColor="text1"/>
          <w:sz w:val="20"/>
          <w:szCs w:val="20"/>
        </w:rPr>
        <w:t>For prosjektsøknader</w:t>
      </w:r>
      <w:r w:rsidRPr="009C3B34">
        <w:rPr>
          <w:rFonts w:ascii="Georgia" w:hAnsi="Georgia"/>
          <w:color w:val="000000" w:themeColor="text1"/>
          <w:sz w:val="20"/>
          <w:szCs w:val="20"/>
        </w:rPr>
        <w:t xml:space="preserve"> har det vært en reduksjon i inntekter, egenandel og nettobidrag sammenlignet med 2018.</w:t>
      </w:r>
    </w:p>
    <w:p w:rsidR="005F4F5B" w:rsidRPr="009C3B34" w:rsidRDefault="005F4F5B" w:rsidP="005F4F5B">
      <w:pPr>
        <w:pStyle w:val="NoSpacing"/>
        <w:rPr>
          <w:color w:val="000000" w:themeColor="text1"/>
          <w:sz w:val="20"/>
          <w:szCs w:val="20"/>
        </w:rPr>
      </w:pPr>
    </w:p>
    <w:p w:rsidR="005F4F5B" w:rsidRDefault="005F4F5B" w:rsidP="005F4F5B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 w:rsidRPr="009C3B34">
        <w:rPr>
          <w:rFonts w:ascii="Georgia" w:hAnsi="Georgia"/>
          <w:b/>
          <w:color w:val="000000" w:themeColor="text1"/>
          <w:sz w:val="20"/>
          <w:szCs w:val="20"/>
        </w:rPr>
        <w:t>For innvilgede prosjekter</w:t>
      </w:r>
      <w:r w:rsidRPr="009C3B34">
        <w:rPr>
          <w:rFonts w:ascii="Georgia" w:hAnsi="Georgia"/>
          <w:color w:val="000000" w:themeColor="text1"/>
          <w:sz w:val="20"/>
          <w:szCs w:val="20"/>
        </w:rPr>
        <w:t xml:space="preserve"> er det per i dag en reduksjon i inntekt (søknadsbeløp) på </w:t>
      </w:r>
      <w:r>
        <w:rPr>
          <w:rFonts w:ascii="Georgia" w:hAnsi="Georgia"/>
          <w:color w:val="000000" w:themeColor="text1"/>
          <w:sz w:val="20"/>
          <w:szCs w:val="20"/>
        </w:rPr>
        <w:t>15,3 mill. kr. og</w:t>
      </w:r>
      <w:r w:rsidRPr="009C3B34">
        <w:rPr>
          <w:rFonts w:ascii="Georgia" w:hAnsi="Georgia"/>
          <w:color w:val="000000" w:themeColor="text1"/>
          <w:sz w:val="20"/>
          <w:szCs w:val="20"/>
        </w:rPr>
        <w:t xml:space="preserve"> egenandel på 2,7 mill. kr., mens nettobidrag er redusert med 5 mill. kr. </w:t>
      </w:r>
      <w:r>
        <w:rPr>
          <w:rFonts w:ascii="Georgia" w:hAnsi="Georgia"/>
          <w:color w:val="000000" w:themeColor="text1"/>
          <w:sz w:val="20"/>
          <w:szCs w:val="20"/>
        </w:rPr>
        <w:t>Resultatet for prosjekt-søknader i 2018 var ekstraordinært, mens 2019 må anses å være nærmere et normalår og er på nivå med innvilgede søknader i 2017.</w:t>
      </w:r>
    </w:p>
    <w:p w:rsidR="005F4F5B" w:rsidRPr="00341E7C" w:rsidRDefault="005F4F5B" w:rsidP="005F4F5B">
      <w:pPr>
        <w:pStyle w:val="NoSpacing"/>
        <w:rPr>
          <w:color w:val="000000" w:themeColor="text1"/>
          <w:sz w:val="20"/>
          <w:szCs w:val="20"/>
          <w:highlight w:val="yellow"/>
          <w:lang w:eastAsia="nb-NO"/>
        </w:rPr>
      </w:pPr>
    </w:p>
    <w:p w:rsidR="005F4F5B" w:rsidRPr="008F2C5B" w:rsidRDefault="005F4F5B" w:rsidP="005F4F5B">
      <w:pPr>
        <w:spacing w:line="276" w:lineRule="auto"/>
        <w:rPr>
          <w:rFonts w:ascii="Georgia" w:eastAsia="Times New Roman" w:hAnsi="Georgia" w:cs="Times New Roman"/>
          <w:color w:val="000000" w:themeColor="text1"/>
          <w:sz w:val="20"/>
          <w:szCs w:val="20"/>
          <w:lang w:eastAsia="nb-NO"/>
        </w:rPr>
      </w:pPr>
      <w:r w:rsidRPr="003E3932">
        <w:rPr>
          <w:rFonts w:ascii="Georgia" w:eastAsia="Times New Roman" w:hAnsi="Georgia" w:cs="Times New Roman"/>
          <w:color w:val="000000" w:themeColor="text1"/>
          <w:sz w:val="20"/>
          <w:szCs w:val="20"/>
          <w:lang w:eastAsia="nb-NO"/>
        </w:rPr>
        <w:t>Vi avventer fortsatt svar på noen søknader, samtidig som innvilgede prosjekter ikke er revidert. Det tas derfor forbehold om at resultatet kan endre seg.</w:t>
      </w:r>
    </w:p>
    <w:p w:rsidR="00492DD5" w:rsidRDefault="00492DD5" w:rsidP="005F4F5B">
      <w:pPr>
        <w:spacing w:line="276" w:lineRule="auto"/>
        <w:rPr>
          <w:rFonts w:ascii="Georgia" w:hAnsi="Georgia"/>
          <w:sz w:val="20"/>
          <w:szCs w:val="20"/>
        </w:rPr>
      </w:pPr>
    </w:p>
    <w:sectPr w:rsidR="00492DD5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26" w:rsidRDefault="001E5B26" w:rsidP="007A5617">
      <w:r>
        <w:separator/>
      </w:r>
    </w:p>
  </w:endnote>
  <w:endnote w:type="continuationSeparator" w:id="0">
    <w:p w:rsidR="001E5B26" w:rsidRDefault="001E5B26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85A">
          <w:rPr>
            <w:noProof/>
          </w:rPr>
          <w:t>3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26" w:rsidRDefault="001E5B26" w:rsidP="007A5617">
      <w:r>
        <w:separator/>
      </w:r>
    </w:p>
  </w:footnote>
  <w:footnote w:type="continuationSeparator" w:id="0">
    <w:p w:rsidR="001E5B26" w:rsidRDefault="001E5B26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23" w:rsidRPr="00FE58F7" w:rsidRDefault="0091424E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22"/>
        <w:szCs w:val="36"/>
      </w:rPr>
    </w:pPr>
    <w:r w:rsidRPr="00FE58F7">
      <w:rPr>
        <w:rFonts w:asciiTheme="majorHAnsi" w:eastAsia="MS Gothic" w:hAnsiTheme="majorHAnsi"/>
        <w:sz w:val="22"/>
        <w:szCs w:val="36"/>
      </w:rPr>
      <w:t xml:space="preserve">Vedlegg 2 </w:t>
    </w:r>
    <w:r w:rsidR="00244923" w:rsidRPr="00FE58F7">
      <w:rPr>
        <w:rFonts w:asciiTheme="majorHAnsi" w:eastAsia="MS Gothic" w:hAnsiTheme="majorHAnsi"/>
        <w:sz w:val="22"/>
        <w:szCs w:val="36"/>
      </w:rPr>
      <w:t xml:space="preserve">Mal for </w:t>
    </w:r>
    <w:r w:rsidR="001419BD" w:rsidRPr="00FE58F7">
      <w:rPr>
        <w:rFonts w:asciiTheme="majorHAnsi" w:eastAsia="MS Gothic" w:hAnsiTheme="majorHAnsi"/>
        <w:sz w:val="22"/>
        <w:szCs w:val="36"/>
      </w:rPr>
      <w:t>økonomirapportering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4314E"/>
    <w:multiLevelType w:val="hybridMultilevel"/>
    <w:tmpl w:val="74C62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7"/>
  </w:num>
  <w:num w:numId="6">
    <w:abstractNumId w:val="12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00392"/>
    <w:rsid w:val="00052682"/>
    <w:rsid w:val="00056403"/>
    <w:rsid w:val="00063D03"/>
    <w:rsid w:val="0007685A"/>
    <w:rsid w:val="00091DF0"/>
    <w:rsid w:val="000C6C99"/>
    <w:rsid w:val="000D1EAE"/>
    <w:rsid w:val="000D4FCB"/>
    <w:rsid w:val="000E2A98"/>
    <w:rsid w:val="001066E3"/>
    <w:rsid w:val="00107809"/>
    <w:rsid w:val="00112309"/>
    <w:rsid w:val="001419BD"/>
    <w:rsid w:val="00164D19"/>
    <w:rsid w:val="001A1608"/>
    <w:rsid w:val="001C5767"/>
    <w:rsid w:val="001C6189"/>
    <w:rsid w:val="001C6A0F"/>
    <w:rsid w:val="001E5B26"/>
    <w:rsid w:val="0021046D"/>
    <w:rsid w:val="00237F17"/>
    <w:rsid w:val="00243496"/>
    <w:rsid w:val="00244923"/>
    <w:rsid w:val="00251DA6"/>
    <w:rsid w:val="00285B65"/>
    <w:rsid w:val="00286C6D"/>
    <w:rsid w:val="00292FCD"/>
    <w:rsid w:val="00305C8F"/>
    <w:rsid w:val="00342B74"/>
    <w:rsid w:val="00367D4C"/>
    <w:rsid w:val="003815A3"/>
    <w:rsid w:val="00385F0D"/>
    <w:rsid w:val="003A7F11"/>
    <w:rsid w:val="003D5ACB"/>
    <w:rsid w:val="003F21E0"/>
    <w:rsid w:val="0040135A"/>
    <w:rsid w:val="00401C33"/>
    <w:rsid w:val="00433B0B"/>
    <w:rsid w:val="00437D57"/>
    <w:rsid w:val="00451664"/>
    <w:rsid w:val="00453B85"/>
    <w:rsid w:val="00492DD5"/>
    <w:rsid w:val="00493B17"/>
    <w:rsid w:val="004A07B6"/>
    <w:rsid w:val="004B1D43"/>
    <w:rsid w:val="004B7861"/>
    <w:rsid w:val="004D37BC"/>
    <w:rsid w:val="00523380"/>
    <w:rsid w:val="005349FD"/>
    <w:rsid w:val="0053763A"/>
    <w:rsid w:val="005405C3"/>
    <w:rsid w:val="00552E2A"/>
    <w:rsid w:val="005746C6"/>
    <w:rsid w:val="00583E2E"/>
    <w:rsid w:val="00592A23"/>
    <w:rsid w:val="005A4120"/>
    <w:rsid w:val="005C37D2"/>
    <w:rsid w:val="005E15DF"/>
    <w:rsid w:val="005F4F5B"/>
    <w:rsid w:val="00613E11"/>
    <w:rsid w:val="00627A70"/>
    <w:rsid w:val="00652CAB"/>
    <w:rsid w:val="0069072E"/>
    <w:rsid w:val="006D56A9"/>
    <w:rsid w:val="006F5377"/>
    <w:rsid w:val="0071146C"/>
    <w:rsid w:val="007270E5"/>
    <w:rsid w:val="00743B78"/>
    <w:rsid w:val="00746AD9"/>
    <w:rsid w:val="00764468"/>
    <w:rsid w:val="00774B4E"/>
    <w:rsid w:val="00774CD0"/>
    <w:rsid w:val="007A1891"/>
    <w:rsid w:val="007A5617"/>
    <w:rsid w:val="007E2EE6"/>
    <w:rsid w:val="00830AFE"/>
    <w:rsid w:val="00846D69"/>
    <w:rsid w:val="0085746E"/>
    <w:rsid w:val="0088327B"/>
    <w:rsid w:val="008A5D15"/>
    <w:rsid w:val="008E6E2D"/>
    <w:rsid w:val="009030EC"/>
    <w:rsid w:val="0091424E"/>
    <w:rsid w:val="0091553D"/>
    <w:rsid w:val="009168B2"/>
    <w:rsid w:val="00927734"/>
    <w:rsid w:val="009450D0"/>
    <w:rsid w:val="009602D1"/>
    <w:rsid w:val="00982924"/>
    <w:rsid w:val="009A0E4F"/>
    <w:rsid w:val="009A1362"/>
    <w:rsid w:val="009D6A8E"/>
    <w:rsid w:val="00A44CBA"/>
    <w:rsid w:val="00A5308A"/>
    <w:rsid w:val="00A71AE9"/>
    <w:rsid w:val="00A7476D"/>
    <w:rsid w:val="00A95262"/>
    <w:rsid w:val="00AF0FFA"/>
    <w:rsid w:val="00B067CE"/>
    <w:rsid w:val="00B20242"/>
    <w:rsid w:val="00B42847"/>
    <w:rsid w:val="00B44C0D"/>
    <w:rsid w:val="00B50A1A"/>
    <w:rsid w:val="00B632EB"/>
    <w:rsid w:val="00B82D8E"/>
    <w:rsid w:val="00B85D5C"/>
    <w:rsid w:val="00BA6177"/>
    <w:rsid w:val="00BF407C"/>
    <w:rsid w:val="00C06562"/>
    <w:rsid w:val="00C17D10"/>
    <w:rsid w:val="00C44F9C"/>
    <w:rsid w:val="00C47021"/>
    <w:rsid w:val="00CA0650"/>
    <w:rsid w:val="00CF53AC"/>
    <w:rsid w:val="00D45AD0"/>
    <w:rsid w:val="00D61F76"/>
    <w:rsid w:val="00D959FE"/>
    <w:rsid w:val="00DC34A6"/>
    <w:rsid w:val="00DC521B"/>
    <w:rsid w:val="00E06811"/>
    <w:rsid w:val="00E14F78"/>
    <w:rsid w:val="00E24013"/>
    <w:rsid w:val="00E437E1"/>
    <w:rsid w:val="00E6045D"/>
    <w:rsid w:val="00E626D0"/>
    <w:rsid w:val="00E84F8C"/>
    <w:rsid w:val="00E8767B"/>
    <w:rsid w:val="00E96C66"/>
    <w:rsid w:val="00E9755E"/>
    <w:rsid w:val="00EA2FA0"/>
    <w:rsid w:val="00ED6118"/>
    <w:rsid w:val="00EE5538"/>
    <w:rsid w:val="00EF2938"/>
    <w:rsid w:val="00EF4037"/>
    <w:rsid w:val="00F030D7"/>
    <w:rsid w:val="00F050C2"/>
    <w:rsid w:val="00F05AC8"/>
    <w:rsid w:val="00F33250"/>
    <w:rsid w:val="00F60A2C"/>
    <w:rsid w:val="00F74702"/>
    <w:rsid w:val="00F90DE0"/>
    <w:rsid w:val="00FC2077"/>
    <w:rsid w:val="00FC385E"/>
    <w:rsid w:val="00FE2E87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2229"/>
  <w15:docId w15:val="{B9AC6144-4393-489F-8A40-7AD98B5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Spacing">
    <w:name w:val="No Spacing"/>
    <w:uiPriority w:val="1"/>
    <w:qFormat/>
    <w:rsid w:val="00492DD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Galina Loginova</cp:lastModifiedBy>
  <cp:revision>4</cp:revision>
  <cp:lastPrinted>2018-12-11T11:37:00Z</cp:lastPrinted>
  <dcterms:created xsi:type="dcterms:W3CDTF">2020-01-16T14:04:00Z</dcterms:created>
  <dcterms:modified xsi:type="dcterms:W3CDTF">2020-01-17T13:10:00Z</dcterms:modified>
</cp:coreProperties>
</file>