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59" w:rsidRDefault="00975759" w:rsidP="0097575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</w:t>
      </w:r>
    </w:p>
    <w:p w:rsidR="00975759" w:rsidRPr="00AE6D6D" w:rsidRDefault="00975759" w:rsidP="00975759">
      <w:pPr>
        <w:rPr>
          <w:b/>
          <w:sz w:val="32"/>
        </w:rPr>
      </w:pPr>
      <w:r w:rsidRPr="00AE6D6D">
        <w:rPr>
          <w:b/>
          <w:sz w:val="32"/>
        </w:rPr>
        <w:t>SAB-prosessen – Intern høring</w:t>
      </w:r>
    </w:p>
    <w:p w:rsidR="00975759" w:rsidRPr="00AE6D6D" w:rsidRDefault="00975759" w:rsidP="00975759">
      <w:pPr>
        <w:rPr>
          <w:b/>
          <w:sz w:val="28"/>
        </w:rPr>
      </w:pPr>
    </w:p>
    <w:p w:rsidR="00975759" w:rsidRDefault="00975759" w:rsidP="00975759">
      <w:r>
        <w:t>Før styret tar stilling til arbeidsgruppens forslag, ønskes høringsinstansenes synspunkter på de ulike tiltakene. Arbeidsgruppens forslag dreier seg om ulike organisatoriske endringer, gruppert i tre brede hovedkategorier som etter arbeidsgruppens vurdering samlet sett skal bidra til å styrke universitetets mulighet til å nå sine strategiske mål og ambisjoner formulert i Strategi 2020.</w:t>
      </w:r>
      <w:r w:rsidRPr="009A3FC4">
        <w:t xml:space="preserve"> </w:t>
      </w:r>
    </w:p>
    <w:p w:rsidR="00975759" w:rsidRDefault="00975759" w:rsidP="00975759"/>
    <w:p w:rsidR="00975759" w:rsidRPr="00DE30B9" w:rsidRDefault="00975759" w:rsidP="00975759">
      <w:pPr>
        <w:autoSpaceDE w:val="0"/>
        <w:autoSpaceDN w:val="0"/>
        <w:adjustRightInd w:val="0"/>
      </w:pPr>
      <w:r w:rsidRPr="00DE30B9">
        <w:t>Arbeidsgruppen har organisert sine forslag i tre hovedkategorier (romertall I-III, med tiltak/spørsmål i hver kategori, nummerert løpende fra nr. 1 -</w:t>
      </w:r>
      <w:r>
        <w:t xml:space="preserve"> </w:t>
      </w:r>
      <w:r w:rsidRPr="00DE30B9">
        <w:t xml:space="preserve">9). Disse gjengis nedenfor slik de står i arbeidsgruppens rapport. </w:t>
      </w:r>
    </w:p>
    <w:p w:rsidR="00975759" w:rsidRPr="00DE30B9" w:rsidRDefault="00975759" w:rsidP="00975759">
      <w:pPr>
        <w:autoSpaceDE w:val="0"/>
        <w:autoSpaceDN w:val="0"/>
        <w:adjustRightInd w:val="0"/>
      </w:pPr>
    </w:p>
    <w:p w:rsidR="00975759" w:rsidRDefault="00975759" w:rsidP="00975759">
      <w:pPr>
        <w:autoSpaceDE w:val="0"/>
        <w:autoSpaceDN w:val="0"/>
        <w:adjustRightInd w:val="0"/>
      </w:pPr>
      <w:r w:rsidRPr="00DE30B9">
        <w:t>De som inngir høringssvar</w:t>
      </w:r>
      <w:r>
        <w:t>,</w:t>
      </w:r>
      <w:r w:rsidRPr="00DE30B9">
        <w:t xml:space="preserve"> bes sv</w:t>
      </w:r>
      <w:r>
        <w:t>are på følgende i hver kategori:</w:t>
      </w:r>
      <w:r w:rsidRPr="00DE30B9">
        <w:t xml:space="preserve"> Treffer arbeidsgruppens beskrivelse av virkeligheten</w:t>
      </w:r>
      <w:r>
        <w:t>? E</w:t>
      </w:r>
      <w:r w:rsidRPr="00DE30B9">
        <w:t xml:space="preserve">r de spørsmålene som trekkes frem av arbeidsgruppen de viktigste, </w:t>
      </w:r>
      <w:r w:rsidRPr="002B1301">
        <w:t>og treffer arbeidsgruppen</w:t>
      </w:r>
      <w:r>
        <w:t>s</w:t>
      </w:r>
      <w:r w:rsidRPr="002B1301">
        <w:t xml:space="preserve"> </w:t>
      </w:r>
      <w:r>
        <w:t xml:space="preserve">forslag </w:t>
      </w:r>
      <w:r w:rsidRPr="002B1301">
        <w:t>til til</w:t>
      </w:r>
      <w:r>
        <w:t>tak?</w:t>
      </w:r>
      <w:r w:rsidRPr="00DE30B9">
        <w:t xml:space="preserve"> På hvert punkt har</w:t>
      </w:r>
      <w:r>
        <w:t xml:space="preserve"> dere</w:t>
      </w:r>
      <w:r w:rsidRPr="00DE30B9">
        <w:t xml:space="preserve"> anledning til å skrive inn andre tiltak eller andre kommentarer. </w:t>
      </w:r>
      <w:r>
        <w:t>S</w:t>
      </w:r>
      <w:r w:rsidRPr="00DE30B9">
        <w:t>ist i svarskjemaet vil det også være et åpent felt der dere kan skrive inn eventuelle andre kommentarer høringsinstansen har</w:t>
      </w:r>
      <w:r>
        <w:t xml:space="preserve"> til arbeidsgruppens rapport</w:t>
      </w:r>
      <w:r w:rsidRPr="00DE30B9">
        <w:t xml:space="preserve">. </w:t>
      </w:r>
    </w:p>
    <w:p w:rsidR="00975759" w:rsidRPr="00DE30B9" w:rsidRDefault="00975759" w:rsidP="00975759">
      <w:pPr>
        <w:autoSpaceDE w:val="0"/>
        <w:autoSpaceDN w:val="0"/>
        <w:adjustRightInd w:val="0"/>
      </w:pPr>
    </w:p>
    <w:p w:rsidR="00975759" w:rsidRDefault="00975759" w:rsidP="00975759">
      <w:r>
        <w:t>Det anmodes om at høringssvarene følger malen under.</w:t>
      </w:r>
    </w:p>
    <w:p w:rsidR="00975759" w:rsidRDefault="00975759" w:rsidP="00975759"/>
    <w:p w:rsidR="00975759" w:rsidRPr="00EF3588" w:rsidRDefault="00EF3588" w:rsidP="00975759">
      <w:pPr>
        <w:rPr>
          <w:b/>
          <w:i/>
        </w:rPr>
      </w:pPr>
      <w:r>
        <w:rPr>
          <w:b/>
          <w:i/>
        </w:rPr>
        <w:t>Navn på den enhet som har svart</w:t>
      </w:r>
    </w:p>
    <w:p w:rsidR="00975759" w:rsidRPr="00EF3588" w:rsidRDefault="00975759" w:rsidP="00975759">
      <w:pPr>
        <w:autoSpaceDE w:val="0"/>
        <w:autoSpaceDN w:val="0"/>
        <w:adjustRightInd w:val="0"/>
        <w:rPr>
          <w:b/>
          <w:i/>
        </w:rPr>
      </w:pPr>
      <w:r w:rsidRPr="00EF3588">
        <w:rPr>
          <w:b/>
          <w:i/>
        </w:rPr>
        <w:t>Evt. hvilket organ/høringsinstan</w:t>
      </w:r>
      <w:r w:rsidR="00EF3588">
        <w:rPr>
          <w:b/>
          <w:i/>
        </w:rPr>
        <w:t>s som har behandlet svaret</w:t>
      </w:r>
    </w:p>
    <w:p w:rsidR="00975759" w:rsidRDefault="00975759" w:rsidP="00975759">
      <w:pPr>
        <w:autoSpaceDE w:val="0"/>
        <w:autoSpaceDN w:val="0"/>
        <w:adjustRightInd w:val="0"/>
        <w:rPr>
          <w:b/>
        </w:rPr>
      </w:pPr>
    </w:p>
    <w:p w:rsidR="00975759" w:rsidRPr="00EF3588" w:rsidRDefault="00975759" w:rsidP="00975759">
      <w:pPr>
        <w:autoSpaceDE w:val="0"/>
        <w:autoSpaceDN w:val="0"/>
        <w:adjustRightInd w:val="0"/>
        <w:rPr>
          <w:sz w:val="28"/>
          <w:szCs w:val="28"/>
        </w:rPr>
      </w:pPr>
      <w:r w:rsidRPr="00EF3588">
        <w:rPr>
          <w:b/>
          <w:sz w:val="28"/>
          <w:szCs w:val="28"/>
        </w:rPr>
        <w:t>I) Tiltak for klarere prioritering av kvalitet og nyutvikling på alle nivåer i organisasjonen.</w:t>
      </w:r>
      <w:r w:rsidRPr="00EF3588">
        <w:rPr>
          <w:sz w:val="28"/>
          <w:szCs w:val="28"/>
        </w:rPr>
        <w:t xml:space="preserve"> </w:t>
      </w:r>
    </w:p>
    <w:p w:rsidR="00975759" w:rsidRDefault="00975759" w:rsidP="00975759">
      <w:pPr>
        <w:autoSpaceDE w:val="0"/>
        <w:autoSpaceDN w:val="0"/>
        <w:adjustRightInd w:val="0"/>
      </w:pPr>
      <w:r w:rsidRPr="00F2168F">
        <w:t>Tre</w:t>
      </w:r>
      <w:r>
        <w:t xml:space="preserve"> </w:t>
      </w:r>
      <w:r w:rsidRPr="00F2168F">
        <w:t>kategorier av tiltak synes særlig viktige:</w:t>
      </w:r>
    </w:p>
    <w:p w:rsidR="00975759" w:rsidRPr="00F2168F" w:rsidRDefault="00975759" w:rsidP="00975759">
      <w:pPr>
        <w:autoSpaceDE w:val="0"/>
        <w:autoSpaceDN w:val="0"/>
        <w:adjustRightInd w:val="0"/>
      </w:pP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  <w:r>
        <w:t>1</w:t>
      </w:r>
      <w:r w:rsidRPr="00F2168F">
        <w:t>) Klarere prioritering av kvalitet ved fordeling av interne midler til fagmiljøer og</w:t>
      </w:r>
    </w:p>
    <w:p w:rsidR="00975759" w:rsidRDefault="00975759" w:rsidP="00975759">
      <w:pPr>
        <w:autoSpaceDE w:val="0"/>
        <w:autoSpaceDN w:val="0"/>
        <w:adjustRightInd w:val="0"/>
        <w:ind w:left="708"/>
      </w:pPr>
      <w:r w:rsidRPr="00F2168F">
        <w:t>prosjekter/tiltak.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2</w:t>
      </w:r>
      <w:r w:rsidRPr="00F2168F">
        <w:t>) Rekruttering av vitenskapelig personale, hvor UiOs muligheter til å nå opp i</w:t>
      </w:r>
      <w:r>
        <w:t xml:space="preserve"> </w:t>
      </w:r>
      <w:r w:rsidRPr="00F2168F">
        <w:t>konkurransen om kandidater på høyt internasjonalt nivå bedres gjennom bl.a. raskere</w:t>
      </w:r>
      <w:r>
        <w:t xml:space="preserve"> behandling av tilsettingssaker,</w:t>
      </w:r>
      <w:r w:rsidRPr="00F2168F">
        <w:t xml:space="preserve"> og økt innsats for å utforme attraktive karriereplaner for</w:t>
      </w:r>
      <w:r>
        <w:t xml:space="preserve"> </w:t>
      </w:r>
      <w:r w:rsidRPr="00F2168F">
        <w:t>fremragende unge forskere i etableringsfasen.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  <w:r>
        <w:t>3</w:t>
      </w:r>
      <w:r w:rsidRPr="00F2168F">
        <w:t>) Rekruttering av ledere, hvor (a) begrensninger som utelukker eksterne kandidater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  <w:r w:rsidRPr="00F2168F">
        <w:t>oppheves, (b) aktivt søk etter godt kvalifiserte kandidater også utenfor UiO inngår i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  <w:r w:rsidRPr="00F2168F">
        <w:t xml:space="preserve">prosessen, og (c) også «hybridmodeller» – her: </w:t>
      </w:r>
      <w:r>
        <w:t>M</w:t>
      </w:r>
      <w:r w:rsidRPr="00F2168F">
        <w:t>odeller som kombinerer aktivt søk og</w:t>
      </w:r>
      <w:r>
        <w:t xml:space="preserve"> </w:t>
      </w:r>
      <w:r w:rsidRPr="00F2168F">
        <w:t>grundig vurdering av kvalifikasjoner (hvor studenter og ansatte har viktige roller) med et</w:t>
      </w:r>
      <w:r>
        <w:t xml:space="preserve"> </w:t>
      </w:r>
      <w:r w:rsidRPr="00F2168F">
        <w:t xml:space="preserve">avklart mandat fra universitetssamfunnet – vurderes på nivåene 1 </w:t>
      </w:r>
      <w:r>
        <w:t xml:space="preserve">(UiOs sentrale nivå) </w:t>
      </w:r>
      <w:r w:rsidRPr="00F2168F">
        <w:t>og 2</w:t>
      </w:r>
      <w:r>
        <w:t xml:space="preserve"> (Fakulteter og museer)</w:t>
      </w:r>
      <w:r w:rsidRPr="00F2168F">
        <w:t>.</w:t>
      </w:r>
    </w:p>
    <w:p w:rsidR="00975759" w:rsidRDefault="00975759" w:rsidP="00975759">
      <w:pPr>
        <w:autoSpaceDE w:val="0"/>
        <w:autoSpaceDN w:val="0"/>
        <w:adjustRightInd w:val="0"/>
      </w:pPr>
    </w:p>
    <w:p w:rsidR="00975759" w:rsidRPr="00EF3588" w:rsidRDefault="00975759" w:rsidP="00975759">
      <w:pPr>
        <w:rPr>
          <w:b/>
          <w:i/>
        </w:rPr>
      </w:pPr>
      <w:r w:rsidRPr="00EF3588">
        <w:rPr>
          <w:b/>
          <w:i/>
        </w:rPr>
        <w:t xml:space="preserve">Høringsinstansene bes om å gi tilbakemelding på arbeidsgruppens forslag til hovedkategori I og tiltakene 1-3. </w:t>
      </w:r>
    </w:p>
    <w:p w:rsidR="00975759" w:rsidRPr="00723F5F" w:rsidRDefault="00975759" w:rsidP="00975759">
      <w:pPr>
        <w:ind w:left="360"/>
        <w:rPr>
          <w:i/>
        </w:rPr>
      </w:pPr>
    </w:p>
    <w:p w:rsidR="00975759" w:rsidRDefault="00975759" w:rsidP="00975759"/>
    <w:p w:rsidR="00975759" w:rsidRPr="00F2168F" w:rsidRDefault="00975759" w:rsidP="00975759">
      <w:pPr>
        <w:autoSpaceDE w:val="0"/>
        <w:autoSpaceDN w:val="0"/>
        <w:adjustRightInd w:val="0"/>
      </w:pPr>
      <w:r w:rsidRPr="00EF3588">
        <w:rPr>
          <w:b/>
          <w:sz w:val="28"/>
          <w:szCs w:val="28"/>
        </w:rPr>
        <w:t>II) Tiltak for tettere og mer effektiv samhandling mellom styringsnivåene</w:t>
      </w:r>
      <w:r w:rsidRPr="00F2168F">
        <w:t>, med sikte på tre</w:t>
      </w:r>
      <w:r>
        <w:t xml:space="preserve"> </w:t>
      </w:r>
      <w:r w:rsidRPr="00F2168F">
        <w:t xml:space="preserve">delmål: (a) </w:t>
      </w:r>
      <w:proofErr w:type="gramStart"/>
      <w:r w:rsidRPr="00F2168F">
        <w:t>styrke</w:t>
      </w:r>
      <w:proofErr w:type="gramEnd"/>
      <w:r w:rsidRPr="00F2168F">
        <w:t xml:space="preserve"> handlekraften for UiO som institusjon, (b) åpne nye kanaler ”oppover” for</w:t>
      </w:r>
    </w:p>
    <w:p w:rsidR="00975759" w:rsidRPr="00F2168F" w:rsidRDefault="00975759" w:rsidP="00975759">
      <w:pPr>
        <w:autoSpaceDE w:val="0"/>
        <w:autoSpaceDN w:val="0"/>
        <w:adjustRightInd w:val="0"/>
      </w:pPr>
      <w:r w:rsidRPr="00F2168F">
        <w:t>ideer og initiativ fra lokale fagmiljøer, og (c) rydde av veien uklarhet og merarbeid som</w:t>
      </w:r>
    </w:p>
    <w:p w:rsidR="00975759" w:rsidRDefault="00975759" w:rsidP="00975759">
      <w:pPr>
        <w:autoSpaceDE w:val="0"/>
        <w:autoSpaceDN w:val="0"/>
        <w:adjustRightInd w:val="0"/>
      </w:pPr>
      <w:proofErr w:type="gramStart"/>
      <w:r w:rsidRPr="00F2168F">
        <w:t>oppstår i møtet mellom delt og enhetlig ledelse.</w:t>
      </w:r>
      <w:proofErr w:type="gramEnd"/>
      <w:r w:rsidRPr="00F2168F">
        <w:t xml:space="preserve"> Arbeidsgruppens </w:t>
      </w:r>
      <w:r>
        <w:t>anbefaling</w:t>
      </w:r>
      <w:r w:rsidRPr="00F2168F">
        <w:t xml:space="preserve"> inneholder flere</w:t>
      </w:r>
      <w:r>
        <w:t xml:space="preserve"> spesifikke tiltak, der tre tiltak synes særlig viktige:</w:t>
      </w:r>
    </w:p>
    <w:p w:rsidR="00975759" w:rsidRPr="00F2168F" w:rsidRDefault="00975759" w:rsidP="00975759">
      <w:pPr>
        <w:autoSpaceDE w:val="0"/>
        <w:autoSpaceDN w:val="0"/>
        <w:adjustRightInd w:val="0"/>
      </w:pP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  <w:r>
        <w:t>4</w:t>
      </w:r>
      <w:r w:rsidRPr="00F2168F">
        <w:t>) Etablering av to vertikale samhandlingsstrukturer som binder lederne for forskning og</w:t>
      </w:r>
      <w:r>
        <w:t xml:space="preserve"> </w:t>
      </w:r>
      <w:r w:rsidRPr="00F2168F">
        <w:t>utdanning på de tre øverste nivåene i organisasjonen tettere sammen i</w:t>
      </w:r>
    </w:p>
    <w:p w:rsidR="00975759" w:rsidRDefault="00975759" w:rsidP="00975759">
      <w:pPr>
        <w:autoSpaceDE w:val="0"/>
        <w:autoSpaceDN w:val="0"/>
        <w:adjustRightInd w:val="0"/>
        <w:ind w:left="708"/>
      </w:pPr>
      <w:r w:rsidRPr="00F2168F">
        <w:t>kontinuerlig ”lagarbeid”. Dagsordenen for dette lagarbeidet bestemmes dels ”ovenfra”</w:t>
      </w:r>
      <w:r>
        <w:t xml:space="preserve"> </w:t>
      </w:r>
      <w:r w:rsidRPr="00F2168F">
        <w:t>(gjelder bl.a. tiltak for å bedre oppfølgingen av sentrale strategiske satsninger),</w:t>
      </w:r>
      <w:r>
        <w:t xml:space="preserve"> </w:t>
      </w:r>
      <w:r w:rsidRPr="00F2168F">
        <w:t>dels ”nedenfra” (gjelder bl.a. nye og faglig spennende prosjekter initiert i et eller flere</w:t>
      </w:r>
      <w:r>
        <w:t xml:space="preserve"> </w:t>
      </w:r>
      <w:r w:rsidRPr="00F2168F">
        <w:t>fagmiljøer).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5</w:t>
      </w:r>
      <w:r w:rsidRPr="00F2168F">
        <w:t xml:space="preserve">) Et flertall i </w:t>
      </w:r>
      <w:r>
        <w:t>arbeidsgruppen</w:t>
      </w:r>
      <w:r w:rsidRPr="00F2168F">
        <w:t xml:space="preserve"> ser innføring av enhetlig ledelse også på nivå 1 som viktig for å</w:t>
      </w:r>
      <w:r>
        <w:t xml:space="preserve"> </w:t>
      </w:r>
      <w:r w:rsidRPr="00F2168F">
        <w:t>oppnå delmålet om å rydde av veien uklarhet og merarbeid som oppstår i møtet mellom</w:t>
      </w:r>
      <w:r>
        <w:t xml:space="preserve"> </w:t>
      </w:r>
      <w:r w:rsidRPr="00F2168F">
        <w:t>delt og enhetlig ledelse. Etter gjeldende lovgivning vil en slik reform forutsette at UiO går over til</w:t>
      </w:r>
      <w:r>
        <w:t xml:space="preserve"> </w:t>
      </w:r>
      <w:r w:rsidRPr="00F2168F">
        <w:t xml:space="preserve">departementets </w:t>
      </w:r>
      <w:r>
        <w:t>nylig vedtatte hovedmodell for styring,</w:t>
      </w:r>
      <w:r w:rsidRPr="00F2168F">
        <w:t xml:space="preserve"> der universitetsstyret får ekstern leder oppnevnt av</w:t>
      </w:r>
      <w:r>
        <w:t xml:space="preserve"> </w:t>
      </w:r>
      <w:r w:rsidRPr="00F2168F">
        <w:t>departementet og rektor tilsettes av universitetsstyret. Flertallet legger til grunn at UiO</w:t>
      </w:r>
      <w:r>
        <w:t xml:space="preserve"> </w:t>
      </w:r>
      <w:r w:rsidRPr="00F2168F">
        <w:t>ved en eventuell overgang til departementets hovedmodell vil gjøre god bruk av det</w:t>
      </w:r>
      <w:r>
        <w:t xml:space="preserve"> </w:t>
      </w:r>
      <w:r w:rsidRPr="00F2168F">
        <w:t>handlingsrom modellen gir for selv å bestemme hvordan søke- og innstillingsprosedyrene</w:t>
      </w:r>
      <w:r>
        <w:t xml:space="preserve"> </w:t>
      </w:r>
      <w:r w:rsidRPr="00F2168F">
        <w:t>skal utformes.</w:t>
      </w:r>
    </w:p>
    <w:p w:rsidR="00975759" w:rsidRDefault="00975759" w:rsidP="00975759">
      <w:pPr>
        <w:autoSpaceDE w:val="0"/>
        <w:autoSpaceDN w:val="0"/>
        <w:adjustRightInd w:val="0"/>
        <w:ind w:left="708"/>
      </w:pPr>
      <w:r w:rsidRPr="00F2168F">
        <w:t>Et mindretall mener at dagens ordning med to-delt ledelse på nivå 1 kan</w:t>
      </w:r>
      <w:r>
        <w:t xml:space="preserve"> </w:t>
      </w:r>
      <w:r w:rsidRPr="00F2168F">
        <w:t>fungere godt, og at de konkrete utfordringer som er påpekt, kan løses gjennom en</w:t>
      </w:r>
      <w:r>
        <w:t xml:space="preserve"> </w:t>
      </w:r>
      <w:r w:rsidRPr="00F2168F">
        <w:t xml:space="preserve">pragmatisk klargjøring av prosedyrer. </w:t>
      </w:r>
    </w:p>
    <w:p w:rsidR="00975759" w:rsidRDefault="00975759" w:rsidP="00975759">
      <w:pPr>
        <w:autoSpaceDE w:val="0"/>
        <w:autoSpaceDN w:val="0"/>
        <w:adjustRightInd w:val="0"/>
        <w:ind w:left="708"/>
      </w:pPr>
      <w:r w:rsidRPr="00F2168F">
        <w:t>Et samlet utvalg ser det som viktig at rektor, også</w:t>
      </w:r>
      <w:r>
        <w:t xml:space="preserve"> </w:t>
      </w:r>
      <w:r w:rsidRPr="00F2168F">
        <w:t>der utpeking skjer ved tilsetting, har et mandat fra universitetssamfunnet, og viser til at</w:t>
      </w:r>
      <w:r>
        <w:t xml:space="preserve"> </w:t>
      </w:r>
      <w:r w:rsidRPr="00F2168F">
        <w:t>det finnes flere «hybridmodeller» som kan ivareta det hensynet.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6</w:t>
      </w:r>
      <w:r w:rsidRPr="00F2168F">
        <w:t>) UiO bør foreta en bredere vurdering av eksisterende organisering med sikte på reformer</w:t>
      </w:r>
      <w:r>
        <w:t xml:space="preserve"> </w:t>
      </w:r>
      <w:r w:rsidRPr="00F2168F">
        <w:t>som kan fremme effektive og åpne beslutningsprosesser. UiOs sentrale ledelse trenger et</w:t>
      </w:r>
      <w:r>
        <w:t xml:space="preserve"> </w:t>
      </w:r>
      <w:r w:rsidRPr="00F2168F">
        <w:t>balansert og effektivt rådgivende organ som løpende kan støtte ledelsen i strategiske og</w:t>
      </w:r>
      <w:r>
        <w:t xml:space="preserve"> </w:t>
      </w:r>
      <w:r w:rsidRPr="00F2168F">
        <w:t>politiske spørsmål. Dekanmøtet er et slikt organ, og vil kunne fungere bedre om</w:t>
      </w:r>
      <w:r>
        <w:t xml:space="preserve"> </w:t>
      </w:r>
      <w:r w:rsidRPr="00F2168F">
        <w:t>deltakelse ordinært begrenses til universitetsledelsen og dekanene.</w:t>
      </w:r>
    </w:p>
    <w:p w:rsidR="00975759" w:rsidRDefault="00975759" w:rsidP="00975759"/>
    <w:p w:rsidR="00975759" w:rsidRPr="00EF3588" w:rsidRDefault="00975759" w:rsidP="00975759">
      <w:pPr>
        <w:rPr>
          <w:b/>
          <w:i/>
        </w:rPr>
      </w:pPr>
      <w:r w:rsidRPr="00EF3588">
        <w:rPr>
          <w:b/>
          <w:i/>
        </w:rPr>
        <w:t>Høringsinstansene bes om å gi tilbakemelding på arbeidsgruppens forslag til hovedkategori II og tiltakene 4-6.</w:t>
      </w:r>
    </w:p>
    <w:p w:rsidR="00975759" w:rsidRDefault="00975759" w:rsidP="00975759">
      <w:pPr>
        <w:ind w:left="360"/>
      </w:pP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EF3588" w:rsidRDefault="00EF3588" w:rsidP="009757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3588" w:rsidRDefault="00EF3588" w:rsidP="009757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3588" w:rsidRDefault="00EF3588" w:rsidP="009757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75759" w:rsidRDefault="00975759" w:rsidP="00975759">
      <w:pPr>
        <w:autoSpaceDE w:val="0"/>
        <w:autoSpaceDN w:val="0"/>
        <w:adjustRightInd w:val="0"/>
      </w:pPr>
      <w:r w:rsidRPr="00EF3588">
        <w:rPr>
          <w:b/>
          <w:sz w:val="28"/>
          <w:szCs w:val="28"/>
        </w:rPr>
        <w:lastRenderedPageBreak/>
        <w:t>III) For å sikre tilstrekkelig manøvreringsevne i en tid der viktige endringer kan komme både brått og uventet, bør UiO over tid bygge opp et noe større økonomisk handlingsrom for ledere og styrer på alle nivåer i organisasjonen</w:t>
      </w:r>
      <w:r w:rsidRPr="00F2168F">
        <w:t>. Disse handlingsrommene bør supplere hverandre,</w:t>
      </w:r>
      <w:r>
        <w:t xml:space="preserve"> </w:t>
      </w:r>
      <w:r w:rsidRPr="00F2168F">
        <w:t>eksempelvis slik at:</w:t>
      </w:r>
    </w:p>
    <w:p w:rsidR="00975759" w:rsidRPr="00F2168F" w:rsidRDefault="00975759" w:rsidP="00975759">
      <w:pPr>
        <w:autoSpaceDE w:val="0"/>
        <w:autoSpaceDN w:val="0"/>
        <w:adjustRightInd w:val="0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7)</w:t>
      </w:r>
      <w:r w:rsidRPr="00F2168F">
        <w:t xml:space="preserve"> Handlingsrommet på nivå 1 </w:t>
      </w:r>
      <w:r>
        <w:t xml:space="preserve">(UiOs sentrale nivå) </w:t>
      </w:r>
      <w:r w:rsidRPr="00F2168F">
        <w:t>i hovedsak settes inn i tunge løft og viktige strategiske</w:t>
      </w:r>
      <w:r>
        <w:t xml:space="preserve"> </w:t>
      </w:r>
      <w:r w:rsidRPr="00F2168F">
        <w:t>prioriteringer som gjelder UiO som institusjon.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8)</w:t>
      </w:r>
      <w:r w:rsidRPr="00F2168F">
        <w:t xml:space="preserve"> Handlingsrommet på nivå 2</w:t>
      </w:r>
      <w:r>
        <w:t xml:space="preserve"> (fakulteter og museer)</w:t>
      </w:r>
      <w:r w:rsidRPr="00F2168F">
        <w:t xml:space="preserve"> i hovedsak brukes på tilsvarende måte for tunge løft og</w:t>
      </w:r>
      <w:r>
        <w:t xml:space="preserve"> </w:t>
      </w:r>
      <w:r w:rsidRPr="00F2168F">
        <w:t>viktige prioriteringer for det enkelte fakultet.</w:t>
      </w:r>
    </w:p>
    <w:p w:rsidR="00975759" w:rsidRPr="00F2168F" w:rsidRDefault="00975759" w:rsidP="00975759">
      <w:pPr>
        <w:autoSpaceDE w:val="0"/>
        <w:autoSpaceDN w:val="0"/>
        <w:adjustRightInd w:val="0"/>
        <w:ind w:left="708"/>
      </w:pPr>
    </w:p>
    <w:p w:rsidR="00975759" w:rsidRDefault="00975759" w:rsidP="00975759">
      <w:pPr>
        <w:autoSpaceDE w:val="0"/>
        <w:autoSpaceDN w:val="0"/>
        <w:adjustRightInd w:val="0"/>
        <w:ind w:left="708"/>
      </w:pPr>
      <w:r>
        <w:t>9)</w:t>
      </w:r>
      <w:r w:rsidRPr="00F2168F">
        <w:t xml:space="preserve"> Handlingsrommet på nivå 3</w:t>
      </w:r>
      <w:r>
        <w:t xml:space="preserve"> (institutter og sentre)</w:t>
      </w:r>
      <w:r w:rsidRPr="00F2168F">
        <w:t xml:space="preserve"> i hovedsak brukes mer operativt, på lokale tiltak og</w:t>
      </w:r>
      <w:r>
        <w:t xml:space="preserve"> </w:t>
      </w:r>
      <w:r w:rsidRPr="00F2168F">
        <w:t>oppfølging av felles prosjekter.</w:t>
      </w:r>
    </w:p>
    <w:p w:rsidR="00975759" w:rsidRDefault="00975759" w:rsidP="00975759"/>
    <w:p w:rsidR="00975759" w:rsidRDefault="00975759" w:rsidP="00975759">
      <w:pPr>
        <w:rPr>
          <w:b/>
          <w:i/>
        </w:rPr>
      </w:pPr>
      <w:r w:rsidRPr="00EF3588">
        <w:rPr>
          <w:b/>
          <w:i/>
        </w:rPr>
        <w:t>Høringsinstansene bes om å gi tilbakemelding på arbeidsgruppens forslag til hovedkategori III og tiltakene 7-9.</w:t>
      </w:r>
    </w:p>
    <w:p w:rsidR="00EF3588" w:rsidRPr="00EF3588" w:rsidRDefault="00EF3588" w:rsidP="00975759">
      <w:pPr>
        <w:rPr>
          <w:b/>
          <w:i/>
        </w:rPr>
      </w:pPr>
    </w:p>
    <w:p w:rsidR="00975759" w:rsidRPr="00EF3588" w:rsidRDefault="00975759" w:rsidP="00975759">
      <w:pPr>
        <w:rPr>
          <w:b/>
        </w:rPr>
      </w:pPr>
    </w:p>
    <w:p w:rsidR="00975759" w:rsidRPr="00EF3588" w:rsidRDefault="00975759" w:rsidP="00975759">
      <w:pPr>
        <w:rPr>
          <w:b/>
          <w:i/>
        </w:rPr>
      </w:pPr>
      <w:r w:rsidRPr="00EF3588">
        <w:rPr>
          <w:b/>
          <w:i/>
        </w:rPr>
        <w:t>Høringsinstansene bes også om å gi tilbakemelding på hvilke av tiltakshovedkategoriene I – III som eventuelt bør prioriteres, og om dere har andre synspunkt på arbeidsgruppens rapport.</w:t>
      </w:r>
    </w:p>
    <w:p w:rsidR="00975759" w:rsidRDefault="00975759" w:rsidP="00975759"/>
    <w:p w:rsidR="00975759" w:rsidRDefault="00975759" w:rsidP="00975759"/>
    <w:p w:rsidR="00975759" w:rsidRDefault="00975759" w:rsidP="00975759"/>
    <w:p w:rsidR="00975759" w:rsidRDefault="00975759" w:rsidP="00975759"/>
    <w:p w:rsidR="008866E1" w:rsidRDefault="008866E1"/>
    <w:sectPr w:rsidR="008866E1" w:rsidSect="00D3755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E6" w:rsidRDefault="00EF3588">
      <w:r>
        <w:separator/>
      </w:r>
    </w:p>
  </w:endnote>
  <w:endnote w:type="continuationSeparator" w:id="0">
    <w:p w:rsidR="007E34E6" w:rsidRDefault="00E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60035"/>
      <w:docPartObj>
        <w:docPartGallery w:val="Page Numbers (Bottom of Page)"/>
        <w:docPartUnique/>
      </w:docPartObj>
    </w:sdtPr>
    <w:sdtEndPr/>
    <w:sdtContent>
      <w:p w:rsidR="00723F5F" w:rsidRDefault="009757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66">
          <w:rPr>
            <w:noProof/>
          </w:rPr>
          <w:t>2</w:t>
        </w:r>
        <w:r>
          <w:fldChar w:fldCharType="end"/>
        </w:r>
      </w:p>
    </w:sdtContent>
  </w:sdt>
  <w:p w:rsidR="00723F5F" w:rsidRDefault="00C5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E6" w:rsidRDefault="00EF3588">
      <w:r>
        <w:separator/>
      </w:r>
    </w:p>
  </w:footnote>
  <w:footnote w:type="continuationSeparator" w:id="0">
    <w:p w:rsidR="007E34E6" w:rsidRDefault="00EF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F" w:rsidRDefault="00975759" w:rsidP="003030B7">
    <w:pPr>
      <w:pStyle w:val="Header"/>
      <w:jc w:val="right"/>
    </w:pPr>
    <w:r>
      <w:t>Vedlegg: Svarskjema for høringsinstanser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88" w:rsidRDefault="00EF3588" w:rsidP="00EF3588">
    <w:pPr>
      <w:pStyle w:val="Header"/>
      <w:jc w:val="right"/>
    </w:pPr>
    <w:r>
      <w:t>Vedlegg: Svarskjema for høringsinstanser</w:t>
    </w:r>
  </w:p>
  <w:p w:rsidR="00EF3588" w:rsidRDefault="00EF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9"/>
    <w:rsid w:val="007E34E6"/>
    <w:rsid w:val="008866E1"/>
    <w:rsid w:val="00975759"/>
    <w:rsid w:val="00C51366"/>
    <w:rsid w:val="00D4156C"/>
    <w:rsid w:val="00E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59"/>
  </w:style>
  <w:style w:type="paragraph" w:styleId="Footer">
    <w:name w:val="footer"/>
    <w:basedOn w:val="Normal"/>
    <w:link w:val="FooterChar"/>
    <w:uiPriority w:val="99"/>
    <w:unhideWhenUsed/>
    <w:rsid w:val="00975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59"/>
  </w:style>
  <w:style w:type="paragraph" w:styleId="Footer">
    <w:name w:val="footer"/>
    <w:basedOn w:val="Normal"/>
    <w:link w:val="FooterChar"/>
    <w:uiPriority w:val="99"/>
    <w:unhideWhenUsed/>
    <w:rsid w:val="00975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4977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Stray Lien</dc:creator>
  <cp:lastModifiedBy>Tor-Audun Olsen</cp:lastModifiedBy>
  <cp:revision>2</cp:revision>
  <dcterms:created xsi:type="dcterms:W3CDTF">2016-04-27T14:19:00Z</dcterms:created>
  <dcterms:modified xsi:type="dcterms:W3CDTF">2016-04-27T14:19:00Z</dcterms:modified>
</cp:coreProperties>
</file>