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0D718B" w:rsidRPr="00866FA5" w14:paraId="7EDD3C4E" w14:textId="77777777" w:rsidTr="00E84439">
        <w:tc>
          <w:tcPr>
            <w:tcW w:w="2268" w:type="dxa"/>
          </w:tcPr>
          <w:p w14:paraId="709C8F09" w14:textId="77777777" w:rsidR="000D718B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  <w:p w14:paraId="0E989C6F" w14:textId="67A0F9DD" w:rsidR="001719A1" w:rsidRPr="00866FA5" w:rsidRDefault="001719A1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HF</w:t>
            </w:r>
          </w:p>
        </w:tc>
        <w:tc>
          <w:tcPr>
            <w:tcW w:w="1680" w:type="dxa"/>
          </w:tcPr>
          <w:p w14:paraId="0FB5FD75" w14:textId="77777777"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560" w:type="dxa"/>
          </w:tcPr>
          <w:p w14:paraId="53C92EA5" w14:textId="2FD42E48"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  <w:r w:rsidR="001719A1">
              <w:rPr>
                <w:rFonts w:ascii="Georgia" w:hAnsi="Georgia"/>
                <w:b/>
                <w:bCs/>
                <w:color w:val="365F91"/>
                <w:sz w:val="16"/>
              </w:rPr>
              <w:t xml:space="preserve"> Trude Jensen</w:t>
            </w:r>
            <w:r w:rsidR="00DE7CB4">
              <w:rPr>
                <w:rFonts w:ascii="Georgia" w:hAnsi="Georgia"/>
                <w:b/>
                <w:bCs/>
                <w:color w:val="365F91"/>
                <w:sz w:val="16"/>
              </w:rPr>
              <w:t xml:space="preserve"> og Eirik R. Olsen</w:t>
            </w:r>
          </w:p>
        </w:tc>
        <w:tc>
          <w:tcPr>
            <w:tcW w:w="1800" w:type="dxa"/>
          </w:tcPr>
          <w:p w14:paraId="680F522C" w14:textId="77777777"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163" w:type="dxa"/>
          </w:tcPr>
          <w:p w14:paraId="2ED040D8" w14:textId="77777777" w:rsidR="000D718B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14:paraId="065476AA" w14:textId="7F50DE86" w:rsidR="000D718B" w:rsidRPr="00866FA5" w:rsidRDefault="0005636C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15.12.</w:t>
            </w:r>
            <w:r w:rsidR="00734CCE">
              <w:rPr>
                <w:rFonts w:ascii="Georgia" w:hAnsi="Georgia"/>
                <w:b/>
                <w:bCs/>
                <w:color w:val="365F91"/>
                <w:sz w:val="16"/>
              </w:rPr>
              <w:t>2</w:t>
            </w:r>
            <w:r w:rsidR="003231BA">
              <w:rPr>
                <w:rFonts w:ascii="Georgia" w:hAnsi="Georgia"/>
                <w:b/>
                <w:bCs/>
                <w:color w:val="365F91"/>
                <w:sz w:val="16"/>
              </w:rPr>
              <w:t>2</w:t>
            </w:r>
          </w:p>
        </w:tc>
        <w:tc>
          <w:tcPr>
            <w:tcW w:w="1098" w:type="dxa"/>
          </w:tcPr>
          <w:p w14:paraId="71590337" w14:textId="77777777"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14:paraId="085F68C3" w14:textId="13298B39" w:rsidR="000D718B" w:rsidRDefault="001719A1" w:rsidP="00964F9E">
      <w:pPr>
        <w:pStyle w:val="Overskrift1"/>
        <w:spacing w:before="240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Ø</w:t>
      </w:r>
      <w:r w:rsidR="00967577">
        <w:rPr>
          <w:rFonts w:ascii="Georgia" w:hAnsi="Georgia"/>
          <w:lang w:val="nb-NO"/>
        </w:rPr>
        <w:t>konomirapport</w:t>
      </w:r>
      <w:r w:rsidR="00D974C5">
        <w:rPr>
          <w:rFonts w:ascii="Georgia" w:hAnsi="Georgia"/>
          <w:lang w:val="nb-NO"/>
        </w:rPr>
        <w:t>ering</w:t>
      </w:r>
      <w:r w:rsidR="00E34D99">
        <w:rPr>
          <w:rFonts w:ascii="Georgia" w:hAnsi="Georgia"/>
          <w:lang w:val="nb-NO"/>
        </w:rPr>
        <w:t xml:space="preserve"> – langtidsprognose 2023-2027</w:t>
      </w:r>
      <w:bookmarkStart w:id="0" w:name="_GoBack"/>
      <w:bookmarkEnd w:id="0"/>
    </w:p>
    <w:p w14:paraId="0D288370" w14:textId="52597D98" w:rsidR="00FA41F3" w:rsidRDefault="00FA41F3" w:rsidP="00FA41F3">
      <w:pPr>
        <w:pStyle w:val="Georgia11spacing10after"/>
        <w:spacing w:after="0"/>
        <w:rPr>
          <w:sz w:val="20"/>
          <w:szCs w:val="24"/>
          <w:lang w:val="nb-NO"/>
        </w:rPr>
      </w:pPr>
    </w:p>
    <w:p w14:paraId="1360EF42" w14:textId="77777777" w:rsidR="000D718B" w:rsidRPr="00964F9E" w:rsidRDefault="000D718B" w:rsidP="000D718B">
      <w:pPr>
        <w:rPr>
          <w:rFonts w:ascii="Georgia" w:hAnsi="Georgia"/>
          <w:sz w:val="14"/>
          <w:szCs w:val="20"/>
        </w:rPr>
      </w:pPr>
    </w:p>
    <w:p w14:paraId="08C77000" w14:textId="4D3EE9A2" w:rsidR="00AD78DE" w:rsidRPr="000E107D" w:rsidRDefault="002117E0" w:rsidP="00AD78DE">
      <w:pPr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Bevilgnings</w:t>
      </w:r>
      <w:r w:rsidR="00C64FC1">
        <w:rPr>
          <w:rFonts w:ascii="Georgia" w:hAnsi="Georgia"/>
          <w:b/>
          <w:sz w:val="20"/>
          <w:szCs w:val="20"/>
        </w:rPr>
        <w:t>virksomheten</w:t>
      </w:r>
      <w:r w:rsidR="000E107D">
        <w:rPr>
          <w:rFonts w:ascii="Georgia" w:hAnsi="Georgia"/>
          <w:b/>
          <w:sz w:val="20"/>
          <w:szCs w:val="20"/>
        </w:rPr>
        <w:t xml:space="preserve"> </w:t>
      </w:r>
    </w:p>
    <w:p w14:paraId="5C20EB07" w14:textId="3672CE45" w:rsidR="000100D5" w:rsidRDefault="007A39F3" w:rsidP="00AD78DE">
      <w:pPr>
        <w:rPr>
          <w:rFonts w:ascii="Georgia" w:hAnsi="Georgia"/>
          <w:bCs/>
          <w:color w:val="FF0000"/>
          <w:sz w:val="16"/>
          <w:szCs w:val="16"/>
        </w:rPr>
      </w:pPr>
      <w:r w:rsidRPr="007A39F3">
        <w:rPr>
          <w:noProof/>
          <w:lang w:val="en-US"/>
        </w:rPr>
        <w:drawing>
          <wp:inline distT="0" distB="0" distL="0" distR="0" wp14:anchorId="3637507A" wp14:editId="674CFE65">
            <wp:extent cx="5730648" cy="1740090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09" cy="17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D19E" w14:textId="66FC188C" w:rsidR="00AD78DE" w:rsidRDefault="00AD78DE" w:rsidP="00AD78DE">
      <w:pPr>
        <w:rPr>
          <w:rFonts w:eastAsia="SimSun"/>
          <w:sz w:val="20"/>
          <w:lang w:eastAsia="zh-CN"/>
        </w:rPr>
      </w:pPr>
    </w:p>
    <w:p w14:paraId="25E26D43" w14:textId="21D0B1F6" w:rsidR="002F1B04" w:rsidRDefault="002F1B04" w:rsidP="5D965C05">
      <w:pPr>
        <w:spacing w:line="276" w:lineRule="auto"/>
        <w:rPr>
          <w:rFonts w:ascii="Georgia" w:eastAsia="SimSun" w:hAnsi="Georgia"/>
          <w:sz w:val="20"/>
          <w:szCs w:val="20"/>
          <w:lang w:eastAsia="zh-CN"/>
        </w:rPr>
      </w:pPr>
      <w:r w:rsidRPr="5D965C05">
        <w:rPr>
          <w:rFonts w:ascii="Georgia" w:eastAsia="SimSun" w:hAnsi="Georgia"/>
          <w:sz w:val="20"/>
          <w:szCs w:val="20"/>
          <w:lang w:eastAsia="zh-CN"/>
        </w:rPr>
        <w:t>Langtidsprognosen bygger på faktisk</w:t>
      </w:r>
      <w:r w:rsidR="08DD1F17" w:rsidRPr="5D965C05">
        <w:rPr>
          <w:rFonts w:ascii="Georgia" w:eastAsia="SimSun" w:hAnsi="Georgia"/>
          <w:sz w:val="20"/>
          <w:szCs w:val="20"/>
          <w:lang w:eastAsia="zh-CN"/>
        </w:rPr>
        <w:t>e</w:t>
      </w: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 rammer for 2023</w:t>
      </w:r>
      <w:r w:rsidR="003D3973" w:rsidRPr="5D965C05">
        <w:rPr>
          <w:rFonts w:ascii="Georgia" w:eastAsia="SimSun" w:hAnsi="Georgia"/>
          <w:sz w:val="20"/>
          <w:szCs w:val="20"/>
          <w:lang w:eastAsia="zh-CN"/>
        </w:rPr>
        <w:t>,</w:t>
      </w: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 inklusiv trekk i rammen basert på statsbudsjett 2023 og trekk gru</w:t>
      </w:r>
      <w:r w:rsidR="0032280C" w:rsidRPr="5D965C05">
        <w:rPr>
          <w:rFonts w:ascii="Georgia" w:eastAsia="SimSun" w:hAnsi="Georgia"/>
          <w:sz w:val="20"/>
          <w:szCs w:val="20"/>
          <w:lang w:eastAsia="zh-CN"/>
        </w:rPr>
        <w:t>nnet økte energikostnader</w:t>
      </w:r>
      <w:r w:rsidR="003D3973" w:rsidRPr="5D965C05">
        <w:rPr>
          <w:rFonts w:ascii="Georgia" w:eastAsia="SimSun" w:hAnsi="Georgia"/>
          <w:sz w:val="20"/>
          <w:szCs w:val="20"/>
          <w:lang w:eastAsia="zh-CN"/>
        </w:rPr>
        <w:t xml:space="preserve"> i 2023</w:t>
      </w:r>
      <w:r w:rsidR="0032280C" w:rsidRPr="5D965C05">
        <w:rPr>
          <w:rFonts w:ascii="Georgia" w:eastAsia="SimSun" w:hAnsi="Georgia"/>
          <w:sz w:val="20"/>
          <w:szCs w:val="20"/>
          <w:lang w:eastAsia="zh-CN"/>
        </w:rPr>
        <w:t xml:space="preserve">. For langtidsperioden legger HF til grunn </w:t>
      </w:r>
      <w:r w:rsidRPr="5D965C05">
        <w:rPr>
          <w:rFonts w:ascii="Georgia" w:eastAsia="SimSun" w:hAnsi="Georgia"/>
          <w:sz w:val="20"/>
          <w:szCs w:val="20"/>
          <w:lang w:eastAsia="zh-CN"/>
        </w:rPr>
        <w:t>estimerte langtidsrammer for årene 2024 til 2027</w:t>
      </w:r>
      <w:r w:rsidR="0032280C" w:rsidRPr="5D965C05">
        <w:rPr>
          <w:rFonts w:ascii="Georgia" w:eastAsia="SimSun" w:hAnsi="Georgia"/>
          <w:sz w:val="20"/>
          <w:szCs w:val="20"/>
          <w:lang w:eastAsia="zh-CN"/>
        </w:rPr>
        <w:t>,</w:t>
      </w: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 basert på m</w:t>
      </w:r>
      <w:r w:rsidR="003D3973" w:rsidRPr="5D965C05">
        <w:rPr>
          <w:rFonts w:ascii="Georgia" w:eastAsia="SimSun" w:hAnsi="Georgia"/>
          <w:sz w:val="20"/>
          <w:szCs w:val="20"/>
          <w:lang w:eastAsia="zh-CN"/>
        </w:rPr>
        <w:t>åltall for resultatindikatorene</w:t>
      </w: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, inklusiv videreført trekk fra statsbudsjett 2023. </w:t>
      </w:r>
    </w:p>
    <w:p w14:paraId="6BFF690C" w14:textId="77777777" w:rsidR="00A66CDE" w:rsidRDefault="002F1B04" w:rsidP="0032280C">
      <w:pPr>
        <w:spacing w:line="276" w:lineRule="auto"/>
        <w:rPr>
          <w:rFonts w:ascii="Georgia" w:eastAsia="SimSun" w:hAnsi="Georgia"/>
          <w:sz w:val="20"/>
          <w:lang w:eastAsia="zh-CN"/>
        </w:rPr>
      </w:pPr>
      <w:r>
        <w:rPr>
          <w:rFonts w:ascii="Georgia" w:eastAsia="SimSun" w:hAnsi="Georgia"/>
          <w:sz w:val="20"/>
          <w:lang w:eastAsia="zh-CN"/>
        </w:rPr>
        <w:t>Det er ikke gjort noen vurderinger på kostnadssiden etter at</w:t>
      </w:r>
      <w:r w:rsidR="0032280C">
        <w:rPr>
          <w:rFonts w:ascii="Georgia" w:eastAsia="SimSun" w:hAnsi="Georgia"/>
          <w:sz w:val="20"/>
          <w:lang w:eastAsia="zh-CN"/>
        </w:rPr>
        <w:t xml:space="preserve"> trekkene i rammen er lagt inn. </w:t>
      </w:r>
    </w:p>
    <w:p w14:paraId="17E084E4" w14:textId="6FCBCFBB" w:rsidR="0032280C" w:rsidRDefault="0032280C" w:rsidP="5D965C05">
      <w:pPr>
        <w:spacing w:line="276" w:lineRule="auto"/>
        <w:rPr>
          <w:rFonts w:ascii="Georgia" w:eastAsia="SimSun" w:hAnsi="Georgia"/>
          <w:sz w:val="20"/>
          <w:szCs w:val="20"/>
          <w:lang w:eastAsia="zh-CN"/>
        </w:rPr>
      </w:pPr>
      <w:r w:rsidRPr="22FD9C30">
        <w:rPr>
          <w:rFonts w:ascii="Georgia" w:eastAsia="SimSun" w:hAnsi="Georgia"/>
          <w:sz w:val="20"/>
          <w:szCs w:val="20"/>
          <w:lang w:eastAsia="zh-CN"/>
        </w:rPr>
        <w:t xml:space="preserve">Basert på faktiske </w:t>
      </w:r>
      <w:r w:rsidR="00BC6131" w:rsidRPr="22FD9C30">
        <w:rPr>
          <w:rFonts w:ascii="Georgia" w:eastAsia="SimSun" w:hAnsi="Georgia"/>
          <w:sz w:val="20"/>
          <w:szCs w:val="20"/>
          <w:lang w:eastAsia="zh-CN"/>
        </w:rPr>
        <w:t>eksternt finansierte</w:t>
      </w:r>
      <w:r w:rsidRPr="22FD9C30">
        <w:rPr>
          <w:rFonts w:ascii="Georgia" w:eastAsia="SimSun" w:hAnsi="Georgia"/>
          <w:sz w:val="20"/>
          <w:szCs w:val="20"/>
          <w:lang w:eastAsia="zh-CN"/>
        </w:rPr>
        <w:t xml:space="preserve"> prosjekter</w:t>
      </w:r>
      <w:r w:rsidR="00A66CDE" w:rsidRPr="22FD9C30">
        <w:rPr>
          <w:rFonts w:ascii="Georgia" w:eastAsia="SimSun" w:hAnsi="Georgia"/>
          <w:sz w:val="20"/>
          <w:szCs w:val="20"/>
          <w:lang w:eastAsia="zh-CN"/>
        </w:rPr>
        <w:t>,</w:t>
      </w:r>
      <w:r w:rsidR="00C6687A" w:rsidRPr="22FD9C30">
        <w:rPr>
          <w:rFonts w:ascii="Georgia" w:eastAsia="SimSun" w:hAnsi="Georgia"/>
          <w:sz w:val="20"/>
          <w:szCs w:val="20"/>
          <w:lang w:eastAsia="zh-CN"/>
        </w:rPr>
        <w:t xml:space="preserve"> samt estimater på NFR prosjekter</w:t>
      </w:r>
      <w:r w:rsidRPr="22FD9C30">
        <w:rPr>
          <w:rFonts w:ascii="Georgia" w:eastAsia="SimSun" w:hAnsi="Georgia"/>
          <w:sz w:val="20"/>
          <w:szCs w:val="20"/>
          <w:lang w:eastAsia="zh-CN"/>
        </w:rPr>
        <w:t>, er det forventet en økni</w:t>
      </w:r>
      <w:r w:rsidR="00C6687A" w:rsidRPr="22FD9C30">
        <w:rPr>
          <w:rFonts w:ascii="Georgia" w:eastAsia="SimSun" w:hAnsi="Georgia"/>
          <w:sz w:val="20"/>
          <w:szCs w:val="20"/>
          <w:lang w:eastAsia="zh-CN"/>
        </w:rPr>
        <w:t xml:space="preserve">ng i </w:t>
      </w:r>
      <w:r w:rsidR="25643B45" w:rsidRPr="22FD9C30">
        <w:rPr>
          <w:rFonts w:ascii="Georgia" w:eastAsia="SimSun" w:hAnsi="Georgia"/>
          <w:sz w:val="20"/>
          <w:szCs w:val="20"/>
          <w:lang w:eastAsia="zh-CN"/>
        </w:rPr>
        <w:t xml:space="preserve">den totale </w:t>
      </w:r>
      <w:r w:rsidR="00C6687A" w:rsidRPr="22FD9C30">
        <w:rPr>
          <w:rFonts w:ascii="Georgia" w:eastAsia="SimSun" w:hAnsi="Georgia"/>
          <w:sz w:val="20"/>
          <w:szCs w:val="20"/>
          <w:lang w:eastAsia="zh-CN"/>
        </w:rPr>
        <w:t>rammen i langtidsprognosen</w:t>
      </w:r>
      <w:r w:rsidRPr="22FD9C30">
        <w:rPr>
          <w:rFonts w:ascii="Georgia" w:eastAsia="SimSun" w:hAnsi="Georgia"/>
          <w:sz w:val="20"/>
          <w:szCs w:val="20"/>
          <w:lang w:eastAsia="zh-CN"/>
        </w:rPr>
        <w:t xml:space="preserve"> frem til og med 2026</w:t>
      </w:r>
      <w:r w:rsidR="003D3973" w:rsidRPr="22FD9C30">
        <w:rPr>
          <w:rFonts w:ascii="Georgia" w:eastAsia="SimSun" w:hAnsi="Georgia"/>
          <w:sz w:val="20"/>
          <w:szCs w:val="20"/>
          <w:lang w:eastAsia="zh-CN"/>
        </w:rPr>
        <w:t>, før den går ned igjen fra 2027</w:t>
      </w:r>
      <w:r w:rsidRPr="22FD9C30">
        <w:rPr>
          <w:rFonts w:ascii="Georgia" w:eastAsia="SimSun" w:hAnsi="Georgia"/>
          <w:sz w:val="20"/>
          <w:szCs w:val="20"/>
          <w:lang w:eastAsia="zh-CN"/>
        </w:rPr>
        <w:t>. Dette skyldes at det er få institutter</w:t>
      </w:r>
      <w:r w:rsidR="003D3973" w:rsidRPr="22FD9C30">
        <w:rPr>
          <w:rFonts w:ascii="Georgia" w:eastAsia="SimSun" w:hAnsi="Georgia"/>
          <w:sz w:val="20"/>
          <w:szCs w:val="20"/>
          <w:lang w:eastAsia="zh-CN"/>
        </w:rPr>
        <w:t xml:space="preserve"> på HF som ønsker å ta risikoen ved å legge inn </w:t>
      </w:r>
      <w:r w:rsidR="558CA6C9" w:rsidRPr="22FD9C30">
        <w:rPr>
          <w:rFonts w:ascii="Georgia" w:eastAsia="SimSun" w:hAnsi="Georgia"/>
          <w:sz w:val="20"/>
          <w:szCs w:val="20"/>
          <w:lang w:eastAsia="zh-CN"/>
        </w:rPr>
        <w:t xml:space="preserve">dristigere </w:t>
      </w:r>
      <w:r w:rsidR="003D3973" w:rsidRPr="22FD9C30">
        <w:rPr>
          <w:rFonts w:ascii="Georgia" w:eastAsia="SimSun" w:hAnsi="Georgia"/>
          <w:sz w:val="20"/>
          <w:szCs w:val="20"/>
          <w:lang w:eastAsia="zh-CN"/>
        </w:rPr>
        <w:t>estimater på EU</w:t>
      </w:r>
      <w:r w:rsidR="2712EAEC" w:rsidRPr="22FD9C30">
        <w:rPr>
          <w:rFonts w:ascii="Georgia" w:eastAsia="SimSun" w:hAnsi="Georgia"/>
          <w:sz w:val="20"/>
          <w:szCs w:val="20"/>
          <w:lang w:eastAsia="zh-CN"/>
        </w:rPr>
        <w:t>-</w:t>
      </w:r>
      <w:r w:rsidR="003D3973" w:rsidRPr="22FD9C30">
        <w:rPr>
          <w:rFonts w:ascii="Georgia" w:eastAsia="SimSun" w:hAnsi="Georgia"/>
          <w:sz w:val="20"/>
          <w:szCs w:val="20"/>
          <w:lang w:eastAsia="zh-CN"/>
        </w:rPr>
        <w:t xml:space="preserve"> prosjekter i årene fremover. </w:t>
      </w:r>
    </w:p>
    <w:p w14:paraId="2D2A1DFF" w14:textId="59D4E1A6" w:rsidR="002F1B04" w:rsidRDefault="002F1B04" w:rsidP="5D965C05">
      <w:pPr>
        <w:spacing w:line="276" w:lineRule="auto"/>
        <w:rPr>
          <w:rFonts w:ascii="Georgia" w:eastAsia="SimSun" w:hAnsi="Georgia"/>
          <w:sz w:val="20"/>
          <w:szCs w:val="20"/>
          <w:lang w:eastAsia="zh-CN"/>
        </w:rPr>
      </w:pP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Langtidsprognosen tar høyde for faktisk kostnadsutvikling </w:t>
      </w:r>
      <w:r w:rsidR="0032280C" w:rsidRPr="5D965C05">
        <w:rPr>
          <w:rFonts w:ascii="Georgia" w:eastAsia="SimSun" w:hAnsi="Georgia"/>
          <w:sz w:val="20"/>
          <w:szCs w:val="20"/>
          <w:lang w:eastAsia="zh-CN"/>
        </w:rPr>
        <w:t>på driftskostnader</w:t>
      </w:r>
      <w:r w:rsidR="1A3C9580" w:rsidRPr="5D965C05">
        <w:rPr>
          <w:rFonts w:ascii="Georgia" w:eastAsia="SimSun" w:hAnsi="Georgia"/>
          <w:sz w:val="20"/>
          <w:szCs w:val="20"/>
          <w:lang w:eastAsia="zh-CN"/>
        </w:rPr>
        <w:t xml:space="preserve"> </w:t>
      </w:r>
      <w:r w:rsidR="0032280C" w:rsidRPr="5D965C05">
        <w:rPr>
          <w:rFonts w:ascii="Georgia" w:eastAsia="SimSun" w:hAnsi="Georgia"/>
          <w:sz w:val="20"/>
          <w:szCs w:val="20"/>
          <w:lang w:eastAsia="zh-CN"/>
        </w:rPr>
        <w:t>de siste fem årene</w:t>
      </w: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, samt </w:t>
      </w:r>
      <w:r w:rsidR="0032280C" w:rsidRPr="5D965C05">
        <w:rPr>
          <w:rFonts w:ascii="Georgia" w:eastAsia="SimSun" w:hAnsi="Georgia"/>
          <w:sz w:val="20"/>
          <w:szCs w:val="20"/>
          <w:lang w:eastAsia="zh-CN"/>
        </w:rPr>
        <w:t>estimert nettobidrag for langtidsperioden, som inkluderer både faktiske ekstern</w:t>
      </w:r>
      <w:r w:rsidR="3CBBECCF" w:rsidRPr="5D965C05">
        <w:rPr>
          <w:rFonts w:ascii="Georgia" w:eastAsia="SimSun" w:hAnsi="Georgia"/>
          <w:sz w:val="20"/>
          <w:szCs w:val="20"/>
          <w:lang w:eastAsia="zh-CN"/>
        </w:rPr>
        <w:t>t</w:t>
      </w:r>
      <w:r w:rsidR="0032280C" w:rsidRPr="5D965C05">
        <w:rPr>
          <w:rFonts w:ascii="Georgia" w:eastAsia="SimSun" w:hAnsi="Georgia"/>
          <w:sz w:val="20"/>
          <w:szCs w:val="20"/>
          <w:lang w:eastAsia="zh-CN"/>
        </w:rPr>
        <w:t xml:space="preserve"> finansierte prosjekter og estimater på nye ekstern</w:t>
      </w:r>
      <w:r w:rsidR="64FED25E" w:rsidRPr="5D965C05">
        <w:rPr>
          <w:rFonts w:ascii="Georgia" w:eastAsia="SimSun" w:hAnsi="Georgia"/>
          <w:sz w:val="20"/>
          <w:szCs w:val="20"/>
          <w:lang w:eastAsia="zh-CN"/>
        </w:rPr>
        <w:t>t</w:t>
      </w:r>
      <w:r w:rsidR="0032280C" w:rsidRPr="5D965C05">
        <w:rPr>
          <w:rFonts w:ascii="Georgia" w:eastAsia="SimSun" w:hAnsi="Georgia"/>
          <w:sz w:val="20"/>
          <w:szCs w:val="20"/>
          <w:lang w:eastAsia="zh-CN"/>
        </w:rPr>
        <w:t xml:space="preserve"> finansierte prosjekter. </w:t>
      </w:r>
    </w:p>
    <w:p w14:paraId="13D411C6" w14:textId="77777777" w:rsidR="002F1B04" w:rsidRDefault="002F1B04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</w:p>
    <w:p w14:paraId="70469CF5" w14:textId="14F8BF2B" w:rsidR="000100D5" w:rsidRDefault="002F1B04" w:rsidP="5D965C05">
      <w:pPr>
        <w:spacing w:line="276" w:lineRule="auto"/>
        <w:rPr>
          <w:rFonts w:ascii="Georgia" w:eastAsia="SimSun" w:hAnsi="Georgia"/>
          <w:sz w:val="20"/>
          <w:szCs w:val="20"/>
          <w:lang w:eastAsia="zh-CN"/>
        </w:rPr>
      </w:pPr>
      <w:r w:rsidRPr="22FD9C30">
        <w:rPr>
          <w:rFonts w:ascii="Georgia" w:eastAsia="SimSun" w:hAnsi="Georgia"/>
          <w:sz w:val="20"/>
          <w:szCs w:val="20"/>
          <w:lang w:eastAsia="zh-CN"/>
        </w:rPr>
        <w:t xml:space="preserve">HF har hatt en økning i akkumulert mindreforbruk i løpet av 2022. Ved utgangen av november er akkumulert mindreforbruk på 175,19 millioner kroner. Økningen i akkumulert mindreforbruk skyldes ubrukte midler etter covid-19, samt økt nettobidrag grunnet tilslag på flere eksternfinansierte prosjekter. </w:t>
      </w:r>
      <w:r w:rsidR="005C7077">
        <w:rPr>
          <w:rFonts w:ascii="Georgia" w:eastAsia="SimSun" w:hAnsi="Georgia"/>
          <w:sz w:val="20"/>
          <w:szCs w:val="20"/>
          <w:lang w:eastAsia="zh-CN"/>
        </w:rPr>
        <w:t>Av de 175,19 millioner kronene</w:t>
      </w:r>
      <w:r w:rsidR="000E5911">
        <w:rPr>
          <w:rFonts w:ascii="Georgia" w:eastAsia="SimSun" w:hAnsi="Georgia"/>
          <w:sz w:val="20"/>
          <w:szCs w:val="20"/>
          <w:lang w:eastAsia="zh-CN"/>
        </w:rPr>
        <w:t>,</w:t>
      </w:r>
      <w:r w:rsidR="005C7077">
        <w:rPr>
          <w:rFonts w:ascii="Georgia" w:eastAsia="SimSun" w:hAnsi="Georgia"/>
          <w:sz w:val="20"/>
          <w:szCs w:val="20"/>
          <w:lang w:eastAsia="zh-CN"/>
        </w:rPr>
        <w:t xml:space="preserve"> er 54,6 millioner kroner av de</w:t>
      </w:r>
      <w:r w:rsidR="0032280C" w:rsidRPr="22FD9C30">
        <w:rPr>
          <w:rFonts w:ascii="Georgia" w:eastAsia="SimSun" w:hAnsi="Georgia"/>
          <w:sz w:val="20"/>
          <w:szCs w:val="20"/>
          <w:lang w:eastAsia="zh-CN"/>
        </w:rPr>
        <w:t xml:space="preserve"> ubrukte midlene knyttet opp til øremerkinger</w:t>
      </w:r>
      <w:r w:rsidR="003D3973" w:rsidRPr="22FD9C30">
        <w:rPr>
          <w:rFonts w:ascii="Georgia" w:eastAsia="SimSun" w:hAnsi="Georgia"/>
          <w:sz w:val="20"/>
          <w:szCs w:val="20"/>
          <w:lang w:eastAsia="zh-CN"/>
        </w:rPr>
        <w:t>,</w:t>
      </w:r>
      <w:r w:rsidR="0032280C" w:rsidRPr="22FD9C30">
        <w:rPr>
          <w:rFonts w:ascii="Georgia" w:eastAsia="SimSun" w:hAnsi="Georgia"/>
          <w:sz w:val="20"/>
          <w:szCs w:val="20"/>
          <w:lang w:eastAsia="zh-CN"/>
        </w:rPr>
        <w:t xml:space="preserve"> som skal </w:t>
      </w:r>
      <w:r w:rsidR="003D3973" w:rsidRPr="22FD9C30">
        <w:rPr>
          <w:rFonts w:ascii="Georgia" w:eastAsia="SimSun" w:hAnsi="Georgia"/>
          <w:sz w:val="20"/>
          <w:szCs w:val="20"/>
          <w:lang w:eastAsia="zh-CN"/>
        </w:rPr>
        <w:t>avsluttes</w:t>
      </w:r>
      <w:r w:rsidR="0032280C" w:rsidRPr="22FD9C30">
        <w:rPr>
          <w:rFonts w:ascii="Georgia" w:eastAsia="SimSun" w:hAnsi="Georgia"/>
          <w:sz w:val="20"/>
          <w:szCs w:val="20"/>
          <w:lang w:eastAsia="zh-CN"/>
        </w:rPr>
        <w:t xml:space="preserve"> de</w:t>
      </w:r>
      <w:r w:rsidR="005C7077">
        <w:rPr>
          <w:rFonts w:ascii="Georgia" w:eastAsia="SimSun" w:hAnsi="Georgia"/>
          <w:sz w:val="20"/>
          <w:szCs w:val="20"/>
          <w:lang w:eastAsia="zh-CN"/>
        </w:rPr>
        <w:t xml:space="preserve"> nærmeste årene. Ø</w:t>
      </w:r>
      <w:r w:rsidR="0032280C" w:rsidRPr="22FD9C30">
        <w:rPr>
          <w:rFonts w:ascii="Georgia" w:eastAsia="SimSun" w:hAnsi="Georgia"/>
          <w:sz w:val="20"/>
          <w:szCs w:val="20"/>
          <w:lang w:eastAsia="zh-CN"/>
        </w:rPr>
        <w:t xml:space="preserve">remerkingene har hatt en forsinkelse i aktiviteten, men skal etter </w:t>
      </w:r>
      <w:r w:rsidR="00411DA5" w:rsidRPr="22FD9C30">
        <w:rPr>
          <w:rFonts w:ascii="Georgia" w:eastAsia="SimSun" w:hAnsi="Georgia"/>
          <w:sz w:val="20"/>
          <w:szCs w:val="20"/>
          <w:lang w:eastAsia="zh-CN"/>
        </w:rPr>
        <w:t>planen være ferdig innen år 2024</w:t>
      </w:r>
      <w:r w:rsidR="0032280C" w:rsidRPr="22FD9C30">
        <w:rPr>
          <w:rFonts w:ascii="Georgia" w:eastAsia="SimSun" w:hAnsi="Georgia"/>
          <w:sz w:val="20"/>
          <w:szCs w:val="20"/>
          <w:lang w:eastAsia="zh-CN"/>
        </w:rPr>
        <w:t xml:space="preserve">. Dermed er det en </w:t>
      </w:r>
      <w:r w:rsidR="003D3973" w:rsidRPr="22FD9C30">
        <w:rPr>
          <w:rFonts w:ascii="Georgia" w:eastAsia="SimSun" w:hAnsi="Georgia"/>
          <w:sz w:val="20"/>
          <w:szCs w:val="20"/>
          <w:lang w:eastAsia="zh-CN"/>
        </w:rPr>
        <w:t>økning på driftskostnadene i 2023</w:t>
      </w:r>
      <w:r w:rsidR="00411DA5" w:rsidRPr="22FD9C30">
        <w:rPr>
          <w:rFonts w:ascii="Georgia" w:eastAsia="SimSun" w:hAnsi="Georgia"/>
          <w:sz w:val="20"/>
          <w:szCs w:val="20"/>
          <w:lang w:eastAsia="zh-CN"/>
        </w:rPr>
        <w:t xml:space="preserve"> og 2024</w:t>
      </w:r>
      <w:r w:rsidR="003D3973" w:rsidRPr="22FD9C30">
        <w:rPr>
          <w:rFonts w:ascii="Georgia" w:eastAsia="SimSun" w:hAnsi="Georgia"/>
          <w:sz w:val="20"/>
          <w:szCs w:val="20"/>
          <w:lang w:eastAsia="zh-CN"/>
        </w:rPr>
        <w:t xml:space="preserve">. </w:t>
      </w:r>
    </w:p>
    <w:p w14:paraId="729639C1" w14:textId="58918F79" w:rsidR="0032280C" w:rsidRDefault="0032280C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</w:p>
    <w:p w14:paraId="0F60B474" w14:textId="626CA7E6" w:rsidR="003D3973" w:rsidRDefault="0032280C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  <w:r>
        <w:rPr>
          <w:rFonts w:ascii="Georgia" w:eastAsia="SimSun" w:hAnsi="Georgia"/>
          <w:sz w:val="20"/>
          <w:lang w:eastAsia="zh-CN"/>
        </w:rPr>
        <w:t>På bakgrunn av det akkumulerte mindreforbruket har flere institutter lagt inn</w:t>
      </w:r>
      <w:r w:rsidR="00411DA5">
        <w:rPr>
          <w:rFonts w:ascii="Georgia" w:eastAsia="SimSun" w:hAnsi="Georgia"/>
          <w:sz w:val="20"/>
          <w:lang w:eastAsia="zh-CN"/>
        </w:rPr>
        <w:t xml:space="preserve"> forskutteringer på avganger, </w:t>
      </w:r>
      <w:r>
        <w:rPr>
          <w:rFonts w:ascii="Georgia" w:eastAsia="SimSun" w:hAnsi="Georgia"/>
          <w:sz w:val="20"/>
          <w:lang w:eastAsia="zh-CN"/>
        </w:rPr>
        <w:t>egenfinansierte rekrutteringsstillinger</w:t>
      </w:r>
      <w:r w:rsidR="00411DA5">
        <w:rPr>
          <w:rFonts w:ascii="Georgia" w:eastAsia="SimSun" w:hAnsi="Georgia"/>
          <w:sz w:val="20"/>
          <w:lang w:eastAsia="zh-CN"/>
        </w:rPr>
        <w:t>, samt økning i antall rekrutteringsstillinger fra fakultetet</w:t>
      </w:r>
      <w:r>
        <w:rPr>
          <w:rFonts w:ascii="Georgia" w:eastAsia="SimSun" w:hAnsi="Georgia"/>
          <w:sz w:val="20"/>
          <w:lang w:eastAsia="zh-CN"/>
        </w:rPr>
        <w:t xml:space="preserve">. </w:t>
      </w:r>
      <w:r w:rsidR="003D3973">
        <w:rPr>
          <w:rFonts w:ascii="Georgia" w:eastAsia="SimSun" w:hAnsi="Georgia"/>
          <w:sz w:val="20"/>
          <w:lang w:eastAsia="zh-CN"/>
        </w:rPr>
        <w:t xml:space="preserve">Dermed vil personalkostnadene øke i årene fremover, før de starter å gå ned fra og med år 2027. </w:t>
      </w:r>
    </w:p>
    <w:p w14:paraId="7D7218B7" w14:textId="77777777" w:rsidR="00411DA5" w:rsidRDefault="00411DA5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</w:p>
    <w:p w14:paraId="37BFBA58" w14:textId="3069F7F4" w:rsidR="003D3973" w:rsidRDefault="003D3973" w:rsidP="5D965C05">
      <w:pPr>
        <w:spacing w:line="276" w:lineRule="auto"/>
        <w:rPr>
          <w:rFonts w:ascii="Georgia" w:eastAsia="SimSun" w:hAnsi="Georgia"/>
          <w:sz w:val="20"/>
          <w:szCs w:val="20"/>
          <w:lang w:eastAsia="zh-CN"/>
        </w:rPr>
      </w:pPr>
      <w:r w:rsidRPr="5D965C05">
        <w:rPr>
          <w:rFonts w:ascii="Georgia" w:eastAsia="SimSun" w:hAnsi="Georgia"/>
          <w:sz w:val="20"/>
          <w:szCs w:val="20"/>
          <w:lang w:eastAsia="zh-CN"/>
        </w:rPr>
        <w:t>Langtidsprognosen på HF viser at det akkumulerte mindreforbruket skal gå ned mot slutt</w:t>
      </w:r>
      <w:r w:rsidR="000E5911">
        <w:rPr>
          <w:rFonts w:ascii="Georgia" w:eastAsia="SimSun" w:hAnsi="Georgia"/>
          <w:sz w:val="20"/>
          <w:szCs w:val="20"/>
          <w:lang w:eastAsia="zh-CN"/>
        </w:rPr>
        <w:t>en av langtidsperioden til 21,32</w:t>
      </w: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 millioner kroner. </w:t>
      </w:r>
      <w:r w:rsidR="00A83C4D" w:rsidRPr="5D965C05">
        <w:rPr>
          <w:rFonts w:ascii="Georgia" w:eastAsia="SimSun" w:hAnsi="Georgia"/>
          <w:sz w:val="20"/>
          <w:szCs w:val="20"/>
          <w:lang w:eastAsia="zh-CN"/>
        </w:rPr>
        <w:t xml:space="preserve">Dermed vil handlingsrommet reduseres i langtidsperioden. </w:t>
      </w:r>
      <w:r w:rsidR="00717A6F" w:rsidRPr="5D965C05">
        <w:rPr>
          <w:rFonts w:ascii="Georgia" w:eastAsia="SimSun" w:hAnsi="Georgia"/>
          <w:sz w:val="20"/>
          <w:szCs w:val="20"/>
          <w:lang w:eastAsia="zh-CN"/>
        </w:rPr>
        <w:t xml:space="preserve">Mye av årsaken til at handlingsrommet går ned er </w:t>
      </w:r>
      <w:r w:rsidR="77DA0661" w:rsidRPr="5D965C05">
        <w:rPr>
          <w:rFonts w:ascii="Georgia" w:eastAsia="SimSun" w:hAnsi="Georgia"/>
          <w:sz w:val="20"/>
          <w:szCs w:val="20"/>
          <w:lang w:eastAsia="zh-CN"/>
        </w:rPr>
        <w:t>en økning i r</w:t>
      </w:r>
      <w:r w:rsidR="00717A6F" w:rsidRPr="5D965C05">
        <w:rPr>
          <w:rFonts w:ascii="Georgia" w:eastAsia="SimSun" w:hAnsi="Georgia"/>
          <w:sz w:val="20"/>
          <w:szCs w:val="20"/>
          <w:lang w:eastAsia="zh-CN"/>
        </w:rPr>
        <w:t>ekrutteringer</w:t>
      </w:r>
      <w:r w:rsidR="17E8BB28" w:rsidRPr="5D965C05">
        <w:rPr>
          <w:rFonts w:ascii="Georgia" w:eastAsia="SimSun" w:hAnsi="Georgia"/>
          <w:sz w:val="20"/>
          <w:szCs w:val="20"/>
          <w:lang w:eastAsia="zh-CN"/>
        </w:rPr>
        <w:t xml:space="preserve"> som skjer nå</w:t>
      </w:r>
      <w:r w:rsidR="6129421F" w:rsidRPr="5D965C05">
        <w:rPr>
          <w:rFonts w:ascii="Georgia" w:eastAsia="SimSun" w:hAnsi="Georgia"/>
          <w:sz w:val="20"/>
          <w:szCs w:val="20"/>
          <w:lang w:eastAsia="zh-CN"/>
        </w:rPr>
        <w:t xml:space="preserve"> og fremover</w:t>
      </w:r>
      <w:r w:rsidR="00717A6F" w:rsidRPr="5D965C05">
        <w:rPr>
          <w:rFonts w:ascii="Georgia" w:eastAsia="SimSun" w:hAnsi="Georgia"/>
          <w:sz w:val="20"/>
          <w:szCs w:val="20"/>
          <w:lang w:eastAsia="zh-CN"/>
        </w:rPr>
        <w:t xml:space="preserve">. Det er betydelige </w:t>
      </w:r>
      <w:r w:rsidR="5416E683" w:rsidRPr="5D965C05">
        <w:rPr>
          <w:rFonts w:ascii="Georgia" w:eastAsia="SimSun" w:hAnsi="Georgia"/>
          <w:sz w:val="20"/>
          <w:szCs w:val="20"/>
          <w:lang w:eastAsia="zh-CN"/>
        </w:rPr>
        <w:t>antall</w:t>
      </w:r>
      <w:r w:rsidR="00270FF7" w:rsidRPr="5D965C05">
        <w:rPr>
          <w:rFonts w:ascii="Georgia" w:eastAsia="SimSun" w:hAnsi="Georgia"/>
          <w:sz w:val="20"/>
          <w:szCs w:val="20"/>
          <w:lang w:eastAsia="zh-CN"/>
        </w:rPr>
        <w:t xml:space="preserve"> </w:t>
      </w:r>
      <w:r w:rsidR="00717A6F" w:rsidRPr="5D965C05">
        <w:rPr>
          <w:rFonts w:ascii="Georgia" w:eastAsia="SimSun" w:hAnsi="Georgia"/>
          <w:sz w:val="20"/>
          <w:szCs w:val="20"/>
          <w:lang w:eastAsia="zh-CN"/>
        </w:rPr>
        <w:t>rekrutteringer som er lagt inn</w:t>
      </w:r>
      <w:r w:rsidR="00270FF7" w:rsidRPr="5D965C05">
        <w:rPr>
          <w:rFonts w:ascii="Georgia" w:eastAsia="SimSun" w:hAnsi="Georgia"/>
          <w:sz w:val="20"/>
          <w:szCs w:val="20"/>
          <w:lang w:eastAsia="zh-CN"/>
        </w:rPr>
        <w:t xml:space="preserve"> i prognosen. Noen stillinger er allerede tilsatt mot slutten av 2022, mens en del starter i 2023 og årene utover. Nedgangen i handlingsrommet </w:t>
      </w:r>
      <w:r w:rsidRPr="5D965C05">
        <w:rPr>
          <w:rFonts w:ascii="Georgia" w:eastAsia="SimSun" w:hAnsi="Georgia"/>
          <w:sz w:val="20"/>
          <w:szCs w:val="20"/>
          <w:lang w:eastAsia="zh-CN"/>
        </w:rPr>
        <w:t>forutsetter at de rekrutteringene som ligger i langtidsperioden går som planlagt</w:t>
      </w:r>
      <w:r w:rsidR="00717A6F" w:rsidRPr="5D965C05">
        <w:rPr>
          <w:rFonts w:ascii="Georgia" w:eastAsia="SimSun" w:hAnsi="Georgia"/>
          <w:sz w:val="20"/>
          <w:szCs w:val="20"/>
          <w:lang w:eastAsia="zh-CN"/>
        </w:rPr>
        <w:t>, for at mindreforbruket skal reduseres</w:t>
      </w: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. </w:t>
      </w:r>
    </w:p>
    <w:p w14:paraId="6436AB29" w14:textId="77777777" w:rsidR="003D3973" w:rsidRDefault="003D3973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</w:p>
    <w:p w14:paraId="633A056C" w14:textId="6BF3B54C" w:rsidR="0032280C" w:rsidRDefault="003D3973" w:rsidP="22FD9C30">
      <w:pPr>
        <w:spacing w:line="276" w:lineRule="auto"/>
        <w:rPr>
          <w:rFonts w:ascii="Georgia" w:eastAsia="SimSun" w:hAnsi="Georgia"/>
          <w:sz w:val="20"/>
          <w:szCs w:val="20"/>
          <w:lang w:eastAsia="zh-CN"/>
        </w:rPr>
      </w:pPr>
      <w:r w:rsidRPr="22FD9C30">
        <w:rPr>
          <w:rFonts w:ascii="Georgia" w:eastAsia="SimSun" w:hAnsi="Georgia"/>
          <w:sz w:val="20"/>
          <w:szCs w:val="20"/>
          <w:lang w:eastAsia="zh-CN"/>
        </w:rPr>
        <w:lastRenderedPageBreak/>
        <w:t xml:space="preserve">HF har ikke lang historikk på økning i nettobidrag og resultatbaserte omfordelingsmidler. Historikken viser at HF gjennomsnittlig har hatt et nettobidrag på 25 millioner kroner pr. år, samt resultatbaserte omfordelingsmidler fra eksterne prosjekter på rundt 9 millioner kroner. De fire siste årene har dette økt og </w:t>
      </w:r>
      <w:r w:rsidR="00411DA5" w:rsidRPr="22FD9C30">
        <w:rPr>
          <w:rFonts w:ascii="Georgia" w:eastAsia="SimSun" w:hAnsi="Georgia"/>
          <w:sz w:val="20"/>
          <w:szCs w:val="20"/>
          <w:lang w:eastAsia="zh-CN"/>
        </w:rPr>
        <w:t xml:space="preserve">nettobidraget </w:t>
      </w:r>
      <w:r w:rsidRPr="22FD9C30">
        <w:rPr>
          <w:rFonts w:ascii="Georgia" w:eastAsia="SimSun" w:hAnsi="Georgia"/>
          <w:sz w:val="20"/>
          <w:szCs w:val="20"/>
          <w:lang w:eastAsia="zh-CN"/>
        </w:rPr>
        <w:t xml:space="preserve">skal opp mot 90 millioner kroner i år 2023, og resultatbaserte omfordelingsmidler skal opp mot </w:t>
      </w:r>
      <w:r w:rsidR="00C6687A" w:rsidRPr="22FD9C30">
        <w:rPr>
          <w:rFonts w:ascii="Georgia" w:eastAsia="SimSun" w:hAnsi="Georgia"/>
          <w:sz w:val="20"/>
          <w:szCs w:val="20"/>
          <w:lang w:eastAsia="zh-CN"/>
        </w:rPr>
        <w:t xml:space="preserve">55 millioner kroner i år 2026. Dette gir </w:t>
      </w:r>
      <w:r w:rsidR="00A83C4D" w:rsidRPr="22FD9C30">
        <w:rPr>
          <w:rFonts w:ascii="Georgia" w:eastAsia="SimSun" w:hAnsi="Georgia"/>
          <w:sz w:val="20"/>
          <w:szCs w:val="20"/>
          <w:lang w:eastAsia="zh-CN"/>
        </w:rPr>
        <w:t>en økning i inntekter</w:t>
      </w:r>
      <w:r w:rsidR="00C6687A" w:rsidRPr="22FD9C30">
        <w:rPr>
          <w:rFonts w:ascii="Georgia" w:eastAsia="SimSun" w:hAnsi="Georgia"/>
          <w:sz w:val="20"/>
          <w:szCs w:val="20"/>
          <w:lang w:eastAsia="zh-CN"/>
        </w:rPr>
        <w:t xml:space="preserve">, som gir muligheter for økning på kostnadssiden. Det er viktig for HF at </w:t>
      </w:r>
      <w:r w:rsidR="00411DA5" w:rsidRPr="22FD9C30">
        <w:rPr>
          <w:rFonts w:ascii="Georgia" w:eastAsia="SimSun" w:hAnsi="Georgia"/>
          <w:sz w:val="20"/>
          <w:szCs w:val="20"/>
          <w:lang w:eastAsia="zh-CN"/>
        </w:rPr>
        <w:t xml:space="preserve">økningen </w:t>
      </w:r>
      <w:r w:rsidR="753C0376" w:rsidRPr="22FD9C30">
        <w:rPr>
          <w:rFonts w:ascii="Georgia" w:eastAsia="SimSun" w:hAnsi="Georgia"/>
          <w:sz w:val="20"/>
          <w:szCs w:val="20"/>
          <w:lang w:eastAsia="zh-CN"/>
        </w:rPr>
        <w:t xml:space="preserve">av </w:t>
      </w:r>
      <w:r w:rsidR="00411DA5" w:rsidRPr="22FD9C30">
        <w:rPr>
          <w:rFonts w:ascii="Georgia" w:eastAsia="SimSun" w:hAnsi="Georgia"/>
          <w:sz w:val="20"/>
          <w:szCs w:val="20"/>
          <w:lang w:eastAsia="zh-CN"/>
        </w:rPr>
        <w:t>kostnadene</w:t>
      </w:r>
      <w:r w:rsidR="5780B774" w:rsidRPr="22FD9C30">
        <w:rPr>
          <w:rFonts w:ascii="Georgia" w:eastAsia="SimSun" w:hAnsi="Georgia"/>
          <w:sz w:val="20"/>
          <w:szCs w:val="20"/>
          <w:lang w:eastAsia="zh-CN"/>
        </w:rPr>
        <w:t>,</w:t>
      </w:r>
      <w:r w:rsidR="00411DA5" w:rsidRPr="22FD9C30">
        <w:rPr>
          <w:rFonts w:ascii="Georgia" w:eastAsia="SimSun" w:hAnsi="Georgia"/>
          <w:sz w:val="20"/>
          <w:szCs w:val="20"/>
          <w:lang w:eastAsia="zh-CN"/>
        </w:rPr>
        <w:t xml:space="preserve"> </w:t>
      </w:r>
      <w:r w:rsidR="006F7790" w:rsidRPr="22FD9C30">
        <w:rPr>
          <w:rFonts w:ascii="Georgia" w:eastAsia="SimSun" w:hAnsi="Georgia"/>
          <w:sz w:val="20"/>
          <w:szCs w:val="20"/>
          <w:lang w:eastAsia="zh-CN"/>
        </w:rPr>
        <w:t>er mulig å finansiere også etter langt</w:t>
      </w:r>
      <w:r w:rsidR="00411DA5" w:rsidRPr="22FD9C30">
        <w:rPr>
          <w:rFonts w:ascii="Georgia" w:eastAsia="SimSun" w:hAnsi="Georgia"/>
          <w:sz w:val="20"/>
          <w:szCs w:val="20"/>
          <w:lang w:eastAsia="zh-CN"/>
        </w:rPr>
        <w:t xml:space="preserve">idsperioden. Dette fordi det er </w:t>
      </w:r>
      <w:r w:rsidR="006F7790" w:rsidRPr="22FD9C30">
        <w:rPr>
          <w:rFonts w:ascii="Georgia" w:eastAsia="SimSun" w:hAnsi="Georgia"/>
          <w:sz w:val="20"/>
          <w:szCs w:val="20"/>
          <w:lang w:eastAsia="zh-CN"/>
        </w:rPr>
        <w:t>usikkerhet rundt utviklingen i nettobidrag og resultatbasert omfordelingsmidler</w:t>
      </w:r>
      <w:r w:rsidR="00411DA5" w:rsidRPr="22FD9C30">
        <w:rPr>
          <w:rFonts w:ascii="Georgia" w:eastAsia="SimSun" w:hAnsi="Georgia"/>
          <w:sz w:val="20"/>
          <w:szCs w:val="20"/>
          <w:lang w:eastAsia="zh-CN"/>
        </w:rPr>
        <w:t xml:space="preserve"> i årene fremover</w:t>
      </w:r>
      <w:r w:rsidR="006F7790" w:rsidRPr="22FD9C30">
        <w:rPr>
          <w:rFonts w:ascii="Georgia" w:eastAsia="SimSun" w:hAnsi="Georgia"/>
          <w:sz w:val="20"/>
          <w:szCs w:val="20"/>
          <w:lang w:eastAsia="zh-CN"/>
        </w:rPr>
        <w:t xml:space="preserve">. </w:t>
      </w:r>
    </w:p>
    <w:p w14:paraId="6C9D0B88" w14:textId="6CB300EF" w:rsidR="00411DA5" w:rsidRDefault="00411DA5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</w:p>
    <w:p w14:paraId="2A37C03F" w14:textId="482A99F9" w:rsidR="00411DA5" w:rsidRDefault="00411DA5" w:rsidP="5D965C05">
      <w:pPr>
        <w:spacing w:line="276" w:lineRule="auto"/>
        <w:rPr>
          <w:rFonts w:ascii="Georgia" w:eastAsia="SimSun" w:hAnsi="Georgia"/>
          <w:sz w:val="20"/>
          <w:szCs w:val="20"/>
          <w:lang w:eastAsia="zh-CN"/>
        </w:rPr>
      </w:pP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De fleste instituttene på HF har ved utgangen av november et akkumulert mindreforbruk. Det er kun et institutt som har et akkumulert merforbruk. </w:t>
      </w:r>
      <w:r w:rsidR="1BB3C26E" w:rsidRPr="5D965C05">
        <w:rPr>
          <w:rFonts w:ascii="Georgia" w:eastAsia="SimSun" w:hAnsi="Georgia"/>
          <w:sz w:val="20"/>
          <w:szCs w:val="20"/>
          <w:lang w:eastAsia="zh-CN"/>
        </w:rPr>
        <w:t>Seks av syv</w:t>
      </w: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 institutte</w:t>
      </w:r>
      <w:r w:rsidR="7B063506" w:rsidRPr="5D965C05">
        <w:rPr>
          <w:rFonts w:ascii="Georgia" w:eastAsia="SimSun" w:hAnsi="Georgia"/>
          <w:sz w:val="20"/>
          <w:szCs w:val="20"/>
          <w:lang w:eastAsia="zh-CN"/>
        </w:rPr>
        <w:t>r</w:t>
      </w:r>
      <w:r w:rsidRPr="5D965C05">
        <w:rPr>
          <w:rFonts w:ascii="Georgia" w:eastAsia="SimSun" w:hAnsi="Georgia"/>
          <w:sz w:val="20"/>
          <w:szCs w:val="20"/>
          <w:lang w:eastAsia="zh-CN"/>
        </w:rPr>
        <w:t xml:space="preserve"> legger derfor opp til økt aktivitet og nye rekrutteringer de neste fem årene, for å ta ned mindreforbruket.</w:t>
      </w:r>
    </w:p>
    <w:p w14:paraId="4342FFFB" w14:textId="6E655889" w:rsidR="00A83C4D" w:rsidRDefault="00A83C4D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</w:p>
    <w:p w14:paraId="4102666C" w14:textId="7F7BDA37" w:rsidR="00A83C4D" w:rsidRDefault="00A83C4D" w:rsidP="22FD9C30">
      <w:pPr>
        <w:spacing w:line="276" w:lineRule="auto"/>
        <w:rPr>
          <w:rFonts w:ascii="Georgia" w:eastAsia="SimSun" w:hAnsi="Georgia"/>
          <w:sz w:val="20"/>
          <w:szCs w:val="20"/>
          <w:lang w:eastAsia="zh-CN"/>
        </w:rPr>
      </w:pPr>
      <w:r w:rsidRPr="22FD9C30">
        <w:rPr>
          <w:rFonts w:ascii="Georgia" w:eastAsia="SimSun" w:hAnsi="Georgia"/>
          <w:sz w:val="20"/>
          <w:szCs w:val="20"/>
          <w:lang w:eastAsia="zh-CN"/>
        </w:rPr>
        <w:t>HF mener de største risikoene i langtidsperioden er eventuelle ytterligere trekk grunnet statsbudsjettene i årene fremover. HF har ikke lagt til grunn at trekk som endrede reisevaner, studieavgift og underfinansiering av pris- og l</w:t>
      </w:r>
      <w:r w:rsidR="000E5911">
        <w:rPr>
          <w:rFonts w:ascii="Georgia" w:eastAsia="SimSun" w:hAnsi="Georgia"/>
          <w:sz w:val="20"/>
          <w:szCs w:val="20"/>
          <w:lang w:eastAsia="zh-CN"/>
        </w:rPr>
        <w:t>ønnskompensasjon skal fortsette</w:t>
      </w:r>
      <w:r w:rsidRPr="22FD9C30">
        <w:rPr>
          <w:rFonts w:ascii="Georgia" w:eastAsia="SimSun" w:hAnsi="Georgia"/>
          <w:sz w:val="20"/>
          <w:szCs w:val="20"/>
          <w:lang w:eastAsia="zh-CN"/>
        </w:rPr>
        <w:t xml:space="preserve">. </w:t>
      </w:r>
      <w:r w:rsidR="00C44B30" w:rsidRPr="22FD9C30">
        <w:rPr>
          <w:rFonts w:ascii="Georgia" w:eastAsia="SimSun" w:hAnsi="Georgia"/>
          <w:sz w:val="20"/>
          <w:szCs w:val="20"/>
          <w:lang w:eastAsia="zh-CN"/>
        </w:rPr>
        <w:t xml:space="preserve">Samtidig ser man at år 2023 bringer med seg større trekk enn forutsett tidligere. </w:t>
      </w:r>
    </w:p>
    <w:p w14:paraId="7EFF1D8C" w14:textId="595AFAFD" w:rsidR="00A66CDE" w:rsidRDefault="00C44B30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  <w:r>
        <w:rPr>
          <w:rFonts w:ascii="Georgia" w:eastAsia="SimSun" w:hAnsi="Georgia"/>
          <w:sz w:val="20"/>
          <w:lang w:eastAsia="zh-CN"/>
        </w:rPr>
        <w:t xml:space="preserve">HF mener også at det kan være risiko for at økte energikostnader også fortsetter utover år 2023 og inn i år 2024. Det er heller ikke tatt hensyn til noe ytterligere trekk grunnet økte energikostnader utover 2023. </w:t>
      </w:r>
      <w:r w:rsidR="00BA54D5">
        <w:rPr>
          <w:rFonts w:ascii="Georgia" w:eastAsia="SimSun" w:hAnsi="Georgia"/>
          <w:sz w:val="20"/>
          <w:lang w:eastAsia="zh-CN"/>
        </w:rPr>
        <w:t xml:space="preserve">Begge disse elementene ville påvirket langtidsprognosen i negativ retning. </w:t>
      </w:r>
    </w:p>
    <w:p w14:paraId="3F539C5B" w14:textId="77777777" w:rsidR="00A66CDE" w:rsidRDefault="00A66CDE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</w:p>
    <w:p w14:paraId="6D219FE6" w14:textId="4C504AD5" w:rsidR="00C44B30" w:rsidRDefault="00C44B30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  <w:r>
        <w:rPr>
          <w:rFonts w:ascii="Georgia" w:eastAsia="SimSun" w:hAnsi="Georgia"/>
          <w:sz w:val="20"/>
          <w:lang w:eastAsia="zh-CN"/>
        </w:rPr>
        <w:t xml:space="preserve">Den største usikkerheten i langtidsperioden mener HF er nettobidrag og midler fra resultatbasert omfordeling. Det er foreløpig lagt opp til et litt konservativt nivå på dette i langtidsperioden. Dersom HF skulle fortsette å få tilslag på flere EU prosjekter, vil dette kunne påvirke langtidsprognosen i positiv retning. </w:t>
      </w:r>
    </w:p>
    <w:p w14:paraId="6552E037" w14:textId="1CD55018" w:rsidR="0032280C" w:rsidRDefault="0032280C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</w:p>
    <w:p w14:paraId="727DEE96" w14:textId="2353A0C8" w:rsidR="002F1B04" w:rsidRPr="002F1B04" w:rsidRDefault="00A83C4D" w:rsidP="002F1B04">
      <w:pPr>
        <w:spacing w:line="276" w:lineRule="auto"/>
        <w:rPr>
          <w:rFonts w:ascii="Georgia" w:eastAsia="SimSun" w:hAnsi="Georgia"/>
          <w:sz w:val="20"/>
          <w:lang w:eastAsia="zh-CN"/>
        </w:rPr>
      </w:pPr>
      <w:r>
        <w:rPr>
          <w:rFonts w:ascii="Georgia" w:eastAsia="SimSun" w:hAnsi="Georgia"/>
          <w:sz w:val="20"/>
          <w:lang w:eastAsia="zh-CN"/>
        </w:rPr>
        <w:t xml:space="preserve">HF har ikke tatt i bruk forhåndsdisponeringer. </w:t>
      </w:r>
    </w:p>
    <w:p w14:paraId="0D3EEE9E" w14:textId="0F753C8D" w:rsidR="000100D5" w:rsidRDefault="000100D5" w:rsidP="00AD78DE">
      <w:pPr>
        <w:rPr>
          <w:rFonts w:eastAsia="SimSun"/>
          <w:sz w:val="20"/>
          <w:lang w:eastAsia="zh-CN"/>
        </w:rPr>
      </w:pPr>
    </w:p>
    <w:p w14:paraId="138B9C58" w14:textId="043910EA" w:rsidR="000100D5" w:rsidRDefault="000100D5" w:rsidP="00A50F88">
      <w:pPr>
        <w:rPr>
          <w:rFonts w:ascii="Georgia" w:hAnsi="Georgia"/>
          <w:b/>
          <w:sz w:val="20"/>
          <w:szCs w:val="20"/>
        </w:rPr>
      </w:pPr>
    </w:p>
    <w:p w14:paraId="786269E1" w14:textId="332E8F99" w:rsidR="00A50F88" w:rsidRDefault="00A50F88" w:rsidP="00A50F8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BOA-virksomheten</w:t>
      </w:r>
    </w:p>
    <w:p w14:paraId="723E3941" w14:textId="215AE349" w:rsidR="003231BA" w:rsidRDefault="007A39F3" w:rsidP="009035A3">
      <w:pPr>
        <w:rPr>
          <w:rFonts w:ascii="Georgia" w:hAnsi="Georgia"/>
          <w:b/>
          <w:sz w:val="20"/>
          <w:szCs w:val="20"/>
        </w:rPr>
      </w:pPr>
      <w:r w:rsidRPr="007A39F3">
        <w:rPr>
          <w:noProof/>
          <w:lang w:val="en-US"/>
        </w:rPr>
        <w:drawing>
          <wp:inline distT="0" distB="0" distL="0" distR="0" wp14:anchorId="745C16B7" wp14:editId="31D90C81">
            <wp:extent cx="5728674" cy="1685498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86" cy="1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D9CB" w14:textId="77777777" w:rsidR="00C6687A" w:rsidRDefault="00C6687A" w:rsidP="009035A3">
      <w:pPr>
        <w:rPr>
          <w:rFonts w:ascii="Georgia" w:hAnsi="Georgia"/>
          <w:sz w:val="20"/>
          <w:szCs w:val="20"/>
        </w:rPr>
      </w:pPr>
    </w:p>
    <w:p w14:paraId="615710E5" w14:textId="476D4B9E" w:rsidR="000100D5" w:rsidRDefault="00C54D53" w:rsidP="00C44B30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HF sin portefølje med eksternfinansiert</w:t>
      </w:r>
      <w:r w:rsidR="00B805D1">
        <w:rPr>
          <w:rFonts w:ascii="Georgia" w:hAnsi="Georgia"/>
          <w:sz w:val="20"/>
          <w:szCs w:val="20"/>
        </w:rPr>
        <w:t>e prosjekter fortsetter å vokse.</w:t>
      </w:r>
      <w:r>
        <w:rPr>
          <w:rFonts w:ascii="Georgia" w:hAnsi="Georgia"/>
          <w:sz w:val="20"/>
          <w:szCs w:val="20"/>
        </w:rPr>
        <w:t xml:space="preserve"> </w:t>
      </w:r>
      <w:r w:rsidR="000F51EB">
        <w:rPr>
          <w:rFonts w:ascii="Georgia" w:hAnsi="Georgia"/>
          <w:sz w:val="20"/>
          <w:szCs w:val="20"/>
        </w:rPr>
        <w:t>Tabellen viser en solid økning i nettobidraget i årsbudsjett 2023.</w:t>
      </w:r>
      <w:r w:rsidR="00E3449C">
        <w:rPr>
          <w:rFonts w:ascii="Georgia" w:hAnsi="Georgia"/>
          <w:sz w:val="20"/>
          <w:szCs w:val="20"/>
        </w:rPr>
        <w:t xml:space="preserve"> </w:t>
      </w:r>
      <w:r w:rsidR="0091266E">
        <w:rPr>
          <w:rFonts w:ascii="Georgia" w:hAnsi="Georgia"/>
          <w:sz w:val="20"/>
          <w:szCs w:val="20"/>
        </w:rPr>
        <w:t>Dette</w:t>
      </w:r>
      <w:r w:rsidR="00952BBA">
        <w:rPr>
          <w:rFonts w:ascii="Georgia" w:hAnsi="Georgia"/>
          <w:sz w:val="20"/>
          <w:szCs w:val="20"/>
        </w:rPr>
        <w:t xml:space="preserve"> skyldes oppstart av nye prosjekter, både NFR, EU og øvrige</w:t>
      </w:r>
      <w:r w:rsidR="00680354">
        <w:rPr>
          <w:rFonts w:ascii="Georgia" w:hAnsi="Georgia"/>
          <w:sz w:val="20"/>
          <w:szCs w:val="20"/>
        </w:rPr>
        <w:t>,</w:t>
      </w:r>
      <w:r w:rsidR="00952BBA">
        <w:rPr>
          <w:rFonts w:ascii="Georgia" w:hAnsi="Georgia"/>
          <w:sz w:val="20"/>
          <w:szCs w:val="20"/>
        </w:rPr>
        <w:t xml:space="preserve"> samt høy prosjektaktivitet på eksisterende</w:t>
      </w:r>
      <w:r w:rsidR="003758E3">
        <w:rPr>
          <w:rFonts w:ascii="Georgia" w:hAnsi="Georgia"/>
          <w:sz w:val="20"/>
          <w:szCs w:val="20"/>
        </w:rPr>
        <w:t xml:space="preserve"> prosjekter. </w:t>
      </w:r>
      <w:r w:rsidR="006B3967">
        <w:rPr>
          <w:rFonts w:ascii="Georgia" w:hAnsi="Georgia"/>
          <w:sz w:val="20"/>
          <w:szCs w:val="20"/>
        </w:rPr>
        <w:t>Av bud</w:t>
      </w:r>
      <w:r w:rsidR="007A2C68">
        <w:rPr>
          <w:rFonts w:ascii="Georgia" w:hAnsi="Georgia"/>
          <w:sz w:val="20"/>
          <w:szCs w:val="20"/>
        </w:rPr>
        <w:t xml:space="preserve">sjettert nettobidrag på 92 millioner </w:t>
      </w:r>
      <w:r w:rsidR="002706D9">
        <w:rPr>
          <w:rFonts w:ascii="Georgia" w:hAnsi="Georgia"/>
          <w:sz w:val="20"/>
          <w:szCs w:val="20"/>
        </w:rPr>
        <w:t xml:space="preserve">kroner kommer </w:t>
      </w:r>
      <w:r w:rsidR="006B3967">
        <w:rPr>
          <w:rFonts w:ascii="Georgia" w:hAnsi="Georgia"/>
          <w:sz w:val="20"/>
          <w:szCs w:val="20"/>
        </w:rPr>
        <w:t>60 mill</w:t>
      </w:r>
      <w:r w:rsidR="007A2C68">
        <w:rPr>
          <w:rFonts w:ascii="Georgia" w:hAnsi="Georgia"/>
          <w:sz w:val="20"/>
          <w:szCs w:val="20"/>
        </w:rPr>
        <w:t>ioner kroner</w:t>
      </w:r>
      <w:r w:rsidR="002706D9">
        <w:rPr>
          <w:rFonts w:ascii="Georgia" w:hAnsi="Georgia"/>
          <w:sz w:val="20"/>
          <w:szCs w:val="20"/>
        </w:rPr>
        <w:t xml:space="preserve"> fra NFR</w:t>
      </w:r>
      <w:r w:rsidR="00C16CA4">
        <w:rPr>
          <w:rFonts w:ascii="Georgia" w:hAnsi="Georgia"/>
          <w:sz w:val="20"/>
          <w:szCs w:val="20"/>
        </w:rPr>
        <w:t>-prosjekter</w:t>
      </w:r>
      <w:r w:rsidR="002706D9">
        <w:rPr>
          <w:rFonts w:ascii="Georgia" w:hAnsi="Georgia"/>
          <w:sz w:val="20"/>
          <w:szCs w:val="20"/>
        </w:rPr>
        <w:t xml:space="preserve">, 22 </w:t>
      </w:r>
      <w:r w:rsidR="007A2C68">
        <w:rPr>
          <w:rFonts w:ascii="Georgia" w:hAnsi="Georgia"/>
          <w:sz w:val="20"/>
          <w:szCs w:val="20"/>
        </w:rPr>
        <w:t>millioner kroner</w:t>
      </w:r>
      <w:r w:rsidR="00C16CA4">
        <w:rPr>
          <w:rFonts w:ascii="Georgia" w:hAnsi="Georgia"/>
          <w:sz w:val="20"/>
          <w:szCs w:val="20"/>
        </w:rPr>
        <w:t xml:space="preserve"> fra EU-prosjekter</w:t>
      </w:r>
      <w:r w:rsidR="0057498A">
        <w:rPr>
          <w:rFonts w:ascii="Georgia" w:hAnsi="Georgia"/>
          <w:sz w:val="20"/>
          <w:szCs w:val="20"/>
        </w:rPr>
        <w:t>, mens r</w:t>
      </w:r>
      <w:r w:rsidR="007A2C68">
        <w:rPr>
          <w:rFonts w:ascii="Georgia" w:hAnsi="Georgia"/>
          <w:sz w:val="20"/>
          <w:szCs w:val="20"/>
        </w:rPr>
        <w:t>esterende 10 millioner kroner</w:t>
      </w:r>
      <w:r w:rsidR="0057498A">
        <w:rPr>
          <w:rFonts w:ascii="Georgia" w:hAnsi="Georgia"/>
          <w:sz w:val="20"/>
          <w:szCs w:val="20"/>
        </w:rPr>
        <w:t xml:space="preserve"> kommer fra øvrige finansieringskilder.</w:t>
      </w:r>
    </w:p>
    <w:p w14:paraId="56232813" w14:textId="77777777" w:rsidR="000100D5" w:rsidRDefault="000100D5" w:rsidP="00C44B30">
      <w:pPr>
        <w:spacing w:line="276" w:lineRule="auto"/>
        <w:rPr>
          <w:rFonts w:ascii="Georgia" w:hAnsi="Georgia"/>
          <w:sz w:val="20"/>
          <w:szCs w:val="20"/>
        </w:rPr>
      </w:pPr>
    </w:p>
    <w:p w14:paraId="5079CF19" w14:textId="015619A6" w:rsidR="00FE3B02" w:rsidRDefault="00FB350B" w:rsidP="00C44B30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Nettobidraget i prognosen er i gjennomsnitt 60,8 millioner kroner per år. Dette snittet er omtrent 3 millioner kroner lavere enn det var i prognosen pr. T3. 2021.</w:t>
      </w:r>
      <w:r w:rsidR="00C90236">
        <w:rPr>
          <w:rFonts w:ascii="Georgia" w:hAnsi="Georgia"/>
          <w:sz w:val="20"/>
          <w:szCs w:val="20"/>
        </w:rPr>
        <w:t xml:space="preserve"> </w:t>
      </w:r>
      <w:r w:rsidR="00FE3B02">
        <w:rPr>
          <w:rFonts w:ascii="Georgia" w:hAnsi="Georgia"/>
          <w:sz w:val="20"/>
          <w:szCs w:val="20"/>
        </w:rPr>
        <w:t xml:space="preserve">Prognosen viser at HF vil dra nytte av den høye prosjektaktiviteten de neste årene, men det forventes </w:t>
      </w:r>
      <w:r w:rsidR="00EA3C7E">
        <w:rPr>
          <w:rFonts w:ascii="Georgia" w:hAnsi="Georgia"/>
          <w:sz w:val="20"/>
          <w:szCs w:val="20"/>
        </w:rPr>
        <w:t>en nedgang</w:t>
      </w:r>
      <w:r w:rsidR="00586256">
        <w:rPr>
          <w:rFonts w:ascii="Georgia" w:hAnsi="Georgia"/>
          <w:sz w:val="20"/>
          <w:szCs w:val="20"/>
        </w:rPr>
        <w:t xml:space="preserve"> etter toppen i 2023</w:t>
      </w:r>
      <w:r w:rsidR="00FE3B02">
        <w:rPr>
          <w:rFonts w:ascii="Georgia" w:hAnsi="Georgia"/>
          <w:sz w:val="20"/>
          <w:szCs w:val="20"/>
        </w:rPr>
        <w:t xml:space="preserve">. Dette skyldes at eksisterende prosjekter avsluttes og at det </w:t>
      </w:r>
      <w:r w:rsidR="00DA4AA1">
        <w:rPr>
          <w:rFonts w:ascii="Georgia" w:hAnsi="Georgia"/>
          <w:sz w:val="20"/>
          <w:szCs w:val="20"/>
        </w:rPr>
        <w:t>estimeres lavere nettobidrag</w:t>
      </w:r>
      <w:r w:rsidR="00586256">
        <w:rPr>
          <w:rFonts w:ascii="Georgia" w:hAnsi="Georgia"/>
          <w:sz w:val="20"/>
          <w:szCs w:val="20"/>
        </w:rPr>
        <w:t xml:space="preserve"> på</w:t>
      </w:r>
      <w:r w:rsidR="0041116C">
        <w:rPr>
          <w:rFonts w:ascii="Georgia" w:hAnsi="Georgia"/>
          <w:sz w:val="20"/>
          <w:szCs w:val="20"/>
        </w:rPr>
        <w:t xml:space="preserve"> nye</w:t>
      </w:r>
      <w:r w:rsidR="00586256">
        <w:rPr>
          <w:rFonts w:ascii="Georgia" w:hAnsi="Georgia"/>
          <w:sz w:val="20"/>
          <w:szCs w:val="20"/>
        </w:rPr>
        <w:t xml:space="preserve"> prosjekter.</w:t>
      </w:r>
      <w:r w:rsidR="00E23AC9">
        <w:rPr>
          <w:rFonts w:ascii="Georgia" w:hAnsi="Georgia"/>
          <w:sz w:val="20"/>
          <w:szCs w:val="20"/>
        </w:rPr>
        <w:t xml:space="preserve"> </w:t>
      </w:r>
      <w:r w:rsidR="00E23AC9" w:rsidRPr="00756873">
        <w:rPr>
          <w:rFonts w:ascii="Georgia" w:hAnsi="Georgia"/>
          <w:sz w:val="20"/>
          <w:szCs w:val="20"/>
        </w:rPr>
        <w:t>Et av pr</w:t>
      </w:r>
      <w:r w:rsidR="00756873">
        <w:rPr>
          <w:rFonts w:ascii="Georgia" w:hAnsi="Georgia"/>
          <w:sz w:val="20"/>
          <w:szCs w:val="20"/>
        </w:rPr>
        <w:t>osjektene som fases ut er senteret</w:t>
      </w:r>
      <w:r w:rsidR="00E23AC9" w:rsidRPr="00756873">
        <w:rPr>
          <w:rFonts w:ascii="Georgia" w:hAnsi="Georgia"/>
          <w:sz w:val="20"/>
          <w:szCs w:val="20"/>
        </w:rPr>
        <w:t xml:space="preserve"> Multiling </w:t>
      </w:r>
      <w:r>
        <w:rPr>
          <w:rFonts w:ascii="Georgia" w:hAnsi="Georgia"/>
          <w:sz w:val="20"/>
          <w:szCs w:val="20"/>
        </w:rPr>
        <w:t>som har vært en viktig bidragsyter</w:t>
      </w:r>
      <w:r w:rsidR="00E23AC9" w:rsidRPr="00756873">
        <w:rPr>
          <w:rFonts w:ascii="Georgia" w:hAnsi="Georgia"/>
          <w:sz w:val="20"/>
          <w:szCs w:val="20"/>
        </w:rPr>
        <w:t>. HF fikk dessverre ikke tilslag i den femte SFF-runden</w:t>
      </w:r>
      <w:r w:rsidR="00756873">
        <w:rPr>
          <w:rFonts w:ascii="Georgia" w:hAnsi="Georgia"/>
          <w:sz w:val="20"/>
          <w:szCs w:val="20"/>
        </w:rPr>
        <w:t xml:space="preserve"> til tross for flere gode søknader og én finalist</w:t>
      </w:r>
      <w:r w:rsidR="00E23AC9" w:rsidRPr="00756873">
        <w:rPr>
          <w:rFonts w:ascii="Georgia" w:hAnsi="Georgia"/>
          <w:sz w:val="20"/>
          <w:szCs w:val="20"/>
        </w:rPr>
        <w:t>.</w:t>
      </w:r>
      <w:r w:rsidR="00586256" w:rsidRPr="00756873">
        <w:rPr>
          <w:rFonts w:ascii="Georgia" w:hAnsi="Georgia"/>
          <w:sz w:val="20"/>
          <w:szCs w:val="20"/>
        </w:rPr>
        <w:t xml:space="preserve"> </w:t>
      </w:r>
    </w:p>
    <w:p w14:paraId="347316AB" w14:textId="7ADE4440" w:rsidR="00586256" w:rsidRDefault="00586256" w:rsidP="00C44B30">
      <w:pPr>
        <w:spacing w:line="276" w:lineRule="auto"/>
        <w:rPr>
          <w:rFonts w:ascii="Georgia" w:hAnsi="Georgia"/>
          <w:sz w:val="20"/>
          <w:szCs w:val="20"/>
        </w:rPr>
      </w:pPr>
    </w:p>
    <w:p w14:paraId="3BED4EF9" w14:textId="30F7A3AA" w:rsidR="00586256" w:rsidRDefault="00586256" w:rsidP="00C44B30">
      <w:pPr>
        <w:spacing w:line="276" w:lineRule="auto"/>
        <w:rPr>
          <w:rFonts w:ascii="Georgia" w:hAnsi="Georgia"/>
          <w:sz w:val="20"/>
          <w:szCs w:val="20"/>
        </w:rPr>
      </w:pPr>
      <w:r w:rsidRPr="22FD9C30">
        <w:rPr>
          <w:rFonts w:ascii="Georgia" w:hAnsi="Georgia"/>
          <w:sz w:val="20"/>
          <w:szCs w:val="20"/>
        </w:rPr>
        <w:t>Situasjonen hos Forskningsr</w:t>
      </w:r>
      <w:r w:rsidR="00DA4AA1" w:rsidRPr="22FD9C30">
        <w:rPr>
          <w:rFonts w:ascii="Georgia" w:hAnsi="Georgia"/>
          <w:sz w:val="20"/>
          <w:szCs w:val="20"/>
        </w:rPr>
        <w:t>åd</w:t>
      </w:r>
      <w:r w:rsidR="002647D0" w:rsidRPr="22FD9C30">
        <w:rPr>
          <w:rFonts w:ascii="Georgia" w:hAnsi="Georgia"/>
          <w:sz w:val="20"/>
          <w:szCs w:val="20"/>
        </w:rPr>
        <w:t>et har</w:t>
      </w:r>
      <w:r w:rsidR="003C316A" w:rsidRPr="22FD9C30">
        <w:rPr>
          <w:rFonts w:ascii="Georgia" w:hAnsi="Georgia"/>
          <w:sz w:val="20"/>
          <w:szCs w:val="20"/>
        </w:rPr>
        <w:t xml:space="preserve"> </w:t>
      </w:r>
      <w:r w:rsidR="00C6687A" w:rsidRPr="22FD9C30">
        <w:rPr>
          <w:rFonts w:ascii="Georgia" w:hAnsi="Georgia"/>
          <w:sz w:val="20"/>
          <w:szCs w:val="20"/>
        </w:rPr>
        <w:t>effekt på å</w:t>
      </w:r>
      <w:r w:rsidR="003C316A" w:rsidRPr="22FD9C30">
        <w:rPr>
          <w:rFonts w:ascii="Georgia" w:hAnsi="Georgia"/>
          <w:sz w:val="20"/>
          <w:szCs w:val="20"/>
        </w:rPr>
        <w:t>rsbudsjett 2023</w:t>
      </w:r>
      <w:r w:rsidR="002647D0" w:rsidRPr="22FD9C30">
        <w:rPr>
          <w:rFonts w:ascii="Georgia" w:hAnsi="Georgia"/>
          <w:sz w:val="20"/>
          <w:szCs w:val="20"/>
        </w:rPr>
        <w:t>. De fleste</w:t>
      </w:r>
      <w:r w:rsidR="00F541CC" w:rsidRPr="22FD9C30">
        <w:rPr>
          <w:rFonts w:ascii="Georgia" w:hAnsi="Georgia"/>
          <w:sz w:val="20"/>
          <w:szCs w:val="20"/>
        </w:rPr>
        <w:t xml:space="preserve"> instituttene har besluttet å </w:t>
      </w:r>
      <w:r w:rsidR="00F73DC2" w:rsidRPr="22FD9C30">
        <w:rPr>
          <w:rFonts w:ascii="Georgia" w:hAnsi="Georgia"/>
          <w:sz w:val="20"/>
          <w:szCs w:val="20"/>
        </w:rPr>
        <w:t>fjerne</w:t>
      </w:r>
      <w:r w:rsidR="00F541CC" w:rsidRPr="22FD9C30">
        <w:rPr>
          <w:rFonts w:ascii="Georgia" w:hAnsi="Georgia"/>
          <w:sz w:val="20"/>
          <w:szCs w:val="20"/>
        </w:rPr>
        <w:t xml:space="preserve"> estimert</w:t>
      </w:r>
      <w:r w:rsidR="00F73DC2" w:rsidRPr="22FD9C30">
        <w:rPr>
          <w:rFonts w:ascii="Georgia" w:hAnsi="Georgia"/>
          <w:sz w:val="20"/>
          <w:szCs w:val="20"/>
        </w:rPr>
        <w:t xml:space="preserve"> tilslag på NFR-prosjekter</w:t>
      </w:r>
      <w:r w:rsidR="003C316A" w:rsidRPr="22FD9C30">
        <w:rPr>
          <w:rFonts w:ascii="Georgia" w:hAnsi="Georgia"/>
          <w:sz w:val="20"/>
          <w:szCs w:val="20"/>
        </w:rPr>
        <w:t xml:space="preserve"> i det kommende året</w:t>
      </w:r>
      <w:r w:rsidR="002647D0" w:rsidRPr="22FD9C30">
        <w:rPr>
          <w:rFonts w:ascii="Georgia" w:hAnsi="Georgia"/>
          <w:sz w:val="20"/>
          <w:szCs w:val="20"/>
        </w:rPr>
        <w:t xml:space="preserve"> ettersom Forskningsrådet kommuniserte kutt og utsettelser. </w:t>
      </w:r>
      <w:r w:rsidR="001212FE" w:rsidRPr="22FD9C30">
        <w:rPr>
          <w:rFonts w:ascii="Georgia" w:hAnsi="Georgia"/>
          <w:sz w:val="20"/>
          <w:szCs w:val="20"/>
        </w:rPr>
        <w:t>Effekten i prognosen er begrenset da instituttene har opprettholdt estimat</w:t>
      </w:r>
      <w:r w:rsidR="00C46B72" w:rsidRPr="22FD9C30">
        <w:rPr>
          <w:rFonts w:ascii="Georgia" w:hAnsi="Georgia"/>
          <w:sz w:val="20"/>
          <w:szCs w:val="20"/>
        </w:rPr>
        <w:t>et</w:t>
      </w:r>
      <w:r w:rsidR="001212FE" w:rsidRPr="22FD9C30">
        <w:rPr>
          <w:rFonts w:ascii="Georgia" w:hAnsi="Georgia"/>
          <w:sz w:val="20"/>
          <w:szCs w:val="20"/>
        </w:rPr>
        <w:t xml:space="preserve"> på tilslag av nye prosjekter</w:t>
      </w:r>
      <w:r w:rsidR="002647D0" w:rsidRPr="22FD9C30">
        <w:rPr>
          <w:rFonts w:ascii="Georgia" w:hAnsi="Georgia"/>
          <w:sz w:val="20"/>
          <w:szCs w:val="20"/>
        </w:rPr>
        <w:t xml:space="preserve"> utover 2023</w:t>
      </w:r>
      <w:r w:rsidR="001212FE" w:rsidRPr="22FD9C30">
        <w:rPr>
          <w:rFonts w:ascii="Georgia" w:hAnsi="Georgia"/>
          <w:sz w:val="20"/>
          <w:szCs w:val="20"/>
        </w:rPr>
        <w:t xml:space="preserve">. </w:t>
      </w:r>
      <w:r w:rsidR="00E024B6" w:rsidRPr="22FD9C30">
        <w:rPr>
          <w:rFonts w:ascii="Georgia" w:hAnsi="Georgia"/>
          <w:sz w:val="20"/>
          <w:szCs w:val="20"/>
        </w:rPr>
        <w:t>Dersom Forskning</w:t>
      </w:r>
      <w:r w:rsidR="00F541CC" w:rsidRPr="22FD9C30">
        <w:rPr>
          <w:rFonts w:ascii="Georgia" w:hAnsi="Georgia"/>
          <w:sz w:val="20"/>
          <w:szCs w:val="20"/>
        </w:rPr>
        <w:t>sråde</w:t>
      </w:r>
      <w:r w:rsidR="00696133" w:rsidRPr="22FD9C30">
        <w:rPr>
          <w:rFonts w:ascii="Georgia" w:hAnsi="Georgia"/>
          <w:sz w:val="20"/>
          <w:szCs w:val="20"/>
        </w:rPr>
        <w:t>t ser seg nødt til å innføre</w:t>
      </w:r>
      <w:r w:rsidR="001212FE" w:rsidRPr="22FD9C30">
        <w:rPr>
          <w:rFonts w:ascii="Georgia" w:hAnsi="Georgia"/>
          <w:sz w:val="20"/>
          <w:szCs w:val="20"/>
        </w:rPr>
        <w:t xml:space="preserve"> ytterligere</w:t>
      </w:r>
      <w:r w:rsidR="00696133" w:rsidRPr="22FD9C30">
        <w:rPr>
          <w:rFonts w:ascii="Georgia" w:hAnsi="Georgia"/>
          <w:sz w:val="20"/>
          <w:szCs w:val="20"/>
        </w:rPr>
        <w:t xml:space="preserve"> tiltak</w:t>
      </w:r>
      <w:r w:rsidR="001212FE" w:rsidRPr="22FD9C30">
        <w:rPr>
          <w:rFonts w:ascii="Georgia" w:hAnsi="Georgia"/>
          <w:sz w:val="20"/>
          <w:szCs w:val="20"/>
        </w:rPr>
        <w:t xml:space="preserve"> i fremtiden</w:t>
      </w:r>
      <w:r w:rsidR="00F541CC" w:rsidRPr="22FD9C30">
        <w:rPr>
          <w:rFonts w:ascii="Georgia" w:hAnsi="Georgia"/>
          <w:sz w:val="20"/>
          <w:szCs w:val="20"/>
        </w:rPr>
        <w:t>, kan det</w:t>
      </w:r>
      <w:r w:rsidR="00F73DC2" w:rsidRPr="22FD9C30">
        <w:rPr>
          <w:rFonts w:ascii="Georgia" w:hAnsi="Georgia"/>
          <w:sz w:val="20"/>
          <w:szCs w:val="20"/>
        </w:rPr>
        <w:t xml:space="preserve"> bli nødvendig å </w:t>
      </w:r>
      <w:r w:rsidR="31A7B4CF" w:rsidRPr="22FD9C30">
        <w:rPr>
          <w:rFonts w:ascii="Georgia" w:hAnsi="Georgia"/>
          <w:sz w:val="20"/>
          <w:szCs w:val="20"/>
        </w:rPr>
        <w:t xml:space="preserve">vende </w:t>
      </w:r>
      <w:r w:rsidR="00F73DC2" w:rsidRPr="22FD9C30">
        <w:rPr>
          <w:rFonts w:ascii="Georgia" w:hAnsi="Georgia"/>
          <w:sz w:val="20"/>
          <w:szCs w:val="20"/>
        </w:rPr>
        <w:t>fokus</w:t>
      </w:r>
      <w:r w:rsidR="003C316A" w:rsidRPr="22FD9C30">
        <w:rPr>
          <w:rFonts w:ascii="Georgia" w:hAnsi="Georgia"/>
          <w:sz w:val="20"/>
          <w:szCs w:val="20"/>
        </w:rPr>
        <w:t xml:space="preserve"> mot andre finansieringskilder for å opprettholde estimert nettobidrag.</w:t>
      </w:r>
    </w:p>
    <w:p w14:paraId="2C65A43B" w14:textId="77777777" w:rsidR="00FE3B02" w:rsidRDefault="00FE3B02" w:rsidP="00C44B30">
      <w:pPr>
        <w:spacing w:line="276" w:lineRule="auto"/>
        <w:rPr>
          <w:rFonts w:ascii="Georgia" w:hAnsi="Georgia"/>
          <w:sz w:val="20"/>
          <w:szCs w:val="20"/>
        </w:rPr>
      </w:pPr>
    </w:p>
    <w:p w14:paraId="689553D6" w14:textId="3F693503" w:rsidR="003231BA" w:rsidRPr="00C57F0D" w:rsidRDefault="0091266E" w:rsidP="00C44B30">
      <w:pPr>
        <w:spacing w:line="276" w:lineRule="auto"/>
        <w:rPr>
          <w:rFonts w:ascii="Georgia" w:hAnsi="Georgia"/>
          <w:sz w:val="20"/>
          <w:szCs w:val="20"/>
        </w:rPr>
      </w:pPr>
      <w:r w:rsidRPr="22FD9C30">
        <w:rPr>
          <w:rFonts w:ascii="Georgia" w:hAnsi="Georgia"/>
          <w:sz w:val="20"/>
          <w:szCs w:val="20"/>
        </w:rPr>
        <w:t xml:space="preserve">Tallene i </w:t>
      </w:r>
      <w:r w:rsidR="00F73DC2" w:rsidRPr="22FD9C30">
        <w:rPr>
          <w:rFonts w:ascii="Georgia" w:hAnsi="Georgia"/>
          <w:sz w:val="20"/>
          <w:szCs w:val="20"/>
        </w:rPr>
        <w:t>års</w:t>
      </w:r>
      <w:r w:rsidRPr="22FD9C30">
        <w:rPr>
          <w:rFonts w:ascii="Georgia" w:hAnsi="Georgia"/>
          <w:sz w:val="20"/>
          <w:szCs w:val="20"/>
        </w:rPr>
        <w:t>buds</w:t>
      </w:r>
      <w:r w:rsidR="00586256" w:rsidRPr="22FD9C30">
        <w:rPr>
          <w:rFonts w:ascii="Georgia" w:hAnsi="Georgia"/>
          <w:sz w:val="20"/>
          <w:szCs w:val="20"/>
        </w:rPr>
        <w:t>j</w:t>
      </w:r>
      <w:r w:rsidR="00F73DC2" w:rsidRPr="22FD9C30">
        <w:rPr>
          <w:rFonts w:ascii="Georgia" w:hAnsi="Georgia"/>
          <w:sz w:val="20"/>
          <w:szCs w:val="20"/>
        </w:rPr>
        <w:t>ett 2023 og prognosen</w:t>
      </w:r>
      <w:r w:rsidRPr="22FD9C30">
        <w:rPr>
          <w:rFonts w:ascii="Georgia" w:hAnsi="Georgia"/>
          <w:sz w:val="20"/>
          <w:szCs w:val="20"/>
        </w:rPr>
        <w:t xml:space="preserve"> forutsetter at</w:t>
      </w:r>
      <w:r w:rsidR="005A7969" w:rsidRPr="22FD9C30">
        <w:rPr>
          <w:rFonts w:ascii="Georgia" w:hAnsi="Georgia"/>
          <w:sz w:val="20"/>
          <w:szCs w:val="20"/>
        </w:rPr>
        <w:t xml:space="preserve"> aktiviteten på eksisterende prosjekter utføres som planlagt, samt at </w:t>
      </w:r>
      <w:r w:rsidRPr="22FD9C30">
        <w:rPr>
          <w:rFonts w:ascii="Georgia" w:hAnsi="Georgia"/>
          <w:sz w:val="20"/>
          <w:szCs w:val="20"/>
        </w:rPr>
        <w:t>HF får tilslag på e</w:t>
      </w:r>
      <w:r w:rsidR="000D5B2A" w:rsidRPr="22FD9C30">
        <w:rPr>
          <w:rFonts w:ascii="Georgia" w:hAnsi="Georgia"/>
          <w:sz w:val="20"/>
          <w:szCs w:val="20"/>
        </w:rPr>
        <w:t>stimerte prosjekter</w:t>
      </w:r>
      <w:r w:rsidRPr="22FD9C30">
        <w:rPr>
          <w:rFonts w:ascii="Georgia" w:hAnsi="Georgia"/>
          <w:sz w:val="20"/>
          <w:szCs w:val="20"/>
        </w:rPr>
        <w:t xml:space="preserve"> de neste årene.</w:t>
      </w:r>
      <w:r w:rsidR="00586256" w:rsidRPr="22FD9C30">
        <w:rPr>
          <w:rFonts w:ascii="Georgia" w:hAnsi="Georgia"/>
          <w:sz w:val="20"/>
          <w:szCs w:val="20"/>
        </w:rPr>
        <w:t xml:space="preserve"> HF </w:t>
      </w:r>
      <w:r w:rsidR="00AD58CC" w:rsidRPr="22FD9C30">
        <w:rPr>
          <w:rFonts w:ascii="Georgia" w:hAnsi="Georgia"/>
          <w:sz w:val="20"/>
          <w:szCs w:val="20"/>
        </w:rPr>
        <w:t>har lagt seg på et</w:t>
      </w:r>
      <w:r w:rsidR="0033427E" w:rsidRPr="22FD9C30">
        <w:rPr>
          <w:rFonts w:ascii="Georgia" w:hAnsi="Georgia"/>
          <w:sz w:val="20"/>
          <w:szCs w:val="20"/>
        </w:rPr>
        <w:t xml:space="preserve"> relativt</w:t>
      </w:r>
      <w:r w:rsidR="00AD58CC" w:rsidRPr="22FD9C30">
        <w:rPr>
          <w:rFonts w:ascii="Georgia" w:hAnsi="Georgia"/>
          <w:sz w:val="20"/>
          <w:szCs w:val="20"/>
        </w:rPr>
        <w:t xml:space="preserve"> </w:t>
      </w:r>
      <w:r w:rsidR="00586256" w:rsidRPr="22FD9C30">
        <w:rPr>
          <w:rFonts w:ascii="Georgia" w:hAnsi="Georgia"/>
          <w:sz w:val="20"/>
          <w:szCs w:val="20"/>
        </w:rPr>
        <w:t xml:space="preserve">nøkternt nivå, </w:t>
      </w:r>
      <w:r w:rsidR="00EF5C0E" w:rsidRPr="22FD9C30">
        <w:rPr>
          <w:rFonts w:ascii="Georgia" w:hAnsi="Georgia"/>
          <w:sz w:val="20"/>
          <w:szCs w:val="20"/>
        </w:rPr>
        <w:t xml:space="preserve">men det er alltid en risiko knyttet til estimater. </w:t>
      </w:r>
      <w:r w:rsidR="00CD4130" w:rsidRPr="22FD9C30">
        <w:rPr>
          <w:rFonts w:ascii="Georgia" w:hAnsi="Georgia"/>
          <w:sz w:val="20"/>
          <w:szCs w:val="20"/>
        </w:rPr>
        <w:t xml:space="preserve"> </w:t>
      </w:r>
    </w:p>
    <w:p w14:paraId="6CFDCFBA" w14:textId="4FF92F86" w:rsidR="00AD78DE" w:rsidRPr="003E3406" w:rsidRDefault="00C64FC1" w:rsidP="00AD78DE">
      <w:pPr>
        <w:pStyle w:val="Overskrift3"/>
        <w:jc w:val="both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>Å</w:t>
      </w:r>
      <w:r w:rsidR="00AD78DE" w:rsidRPr="003E3406">
        <w:rPr>
          <w:rFonts w:ascii="Georgia" w:hAnsi="Georgia"/>
          <w:color w:val="auto"/>
          <w:sz w:val="20"/>
          <w:szCs w:val="20"/>
        </w:rPr>
        <w:t>rsverksutvikling</w:t>
      </w:r>
    </w:p>
    <w:p w14:paraId="6016F5EC" w14:textId="0FD52380" w:rsidR="00AD78DE" w:rsidRDefault="007A39F3" w:rsidP="00AD78DE">
      <w:pPr>
        <w:rPr>
          <w:noProof/>
        </w:rPr>
      </w:pPr>
      <w:r w:rsidRPr="007A39F3">
        <w:rPr>
          <w:noProof/>
          <w:lang w:val="en-US"/>
        </w:rPr>
        <w:drawing>
          <wp:inline distT="0" distB="0" distL="0" distR="0" wp14:anchorId="0A87A171" wp14:editId="1CE5ADC9">
            <wp:extent cx="5728926" cy="1842448"/>
            <wp:effectExtent l="0" t="0" r="5715" b="571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13" cy="184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6A127" w14:textId="0D44268A" w:rsidR="00AB093E" w:rsidRDefault="00AB093E" w:rsidP="00AD78DE"/>
    <w:p w14:paraId="0A8746EA" w14:textId="0D08A513" w:rsidR="00C64FC1" w:rsidRDefault="00A83C4D" w:rsidP="00C44B30">
      <w:pPr>
        <w:spacing w:line="276" w:lineRule="auto"/>
        <w:rPr>
          <w:rFonts w:ascii="Georgia" w:hAnsi="Georgia"/>
          <w:sz w:val="20"/>
          <w:szCs w:val="20"/>
        </w:rPr>
      </w:pPr>
      <w:r w:rsidRPr="22FD9C30">
        <w:rPr>
          <w:rFonts w:ascii="Georgia" w:hAnsi="Georgia"/>
          <w:sz w:val="20"/>
          <w:szCs w:val="20"/>
        </w:rPr>
        <w:t xml:space="preserve">Årsverksutviklingen på HF viser at det skal være en økning i antall årsverk i langtidsperioden. Årsverkene skal øke fra dagens nivå (2022). Dette fordi det er planlagt med forskutteringer av avganger og egenfinansierte rekrutteringsstillinger </w:t>
      </w:r>
      <w:r w:rsidR="57BAA4B4" w:rsidRPr="22FD9C30">
        <w:rPr>
          <w:rFonts w:ascii="Georgia" w:hAnsi="Georgia"/>
          <w:sz w:val="20"/>
          <w:szCs w:val="20"/>
        </w:rPr>
        <w:t>for å ta ned</w:t>
      </w:r>
      <w:r w:rsidRPr="22FD9C30">
        <w:rPr>
          <w:rFonts w:ascii="Georgia" w:hAnsi="Georgia"/>
          <w:sz w:val="20"/>
          <w:szCs w:val="20"/>
        </w:rPr>
        <w:t xml:space="preserve"> akkumulert mindreforbruk. Fra 2025 vil årsverkene </w:t>
      </w:r>
      <w:r w:rsidR="007A39F3" w:rsidRPr="22FD9C30">
        <w:rPr>
          <w:rFonts w:ascii="Georgia" w:hAnsi="Georgia"/>
          <w:sz w:val="20"/>
          <w:szCs w:val="20"/>
        </w:rPr>
        <w:t>reduseres</w:t>
      </w:r>
      <w:r w:rsidRPr="22FD9C30">
        <w:rPr>
          <w:rFonts w:ascii="Georgia" w:hAnsi="Georgia"/>
          <w:sz w:val="20"/>
          <w:szCs w:val="20"/>
        </w:rPr>
        <w:t xml:space="preserve"> da flere av avgangene som er forskuttert kommer fra år 2025 til 2027, samt at de egenfinansierte rekrutteringsstillingene strekker seg frem til år 2026. Dette henger sammen med utviklingen i personalkostnader for langtidsperioden. </w:t>
      </w:r>
    </w:p>
    <w:p w14:paraId="72397760" w14:textId="3E7D7D10" w:rsidR="00A83C4D" w:rsidRDefault="00A83C4D" w:rsidP="00AD78DE">
      <w:pPr>
        <w:rPr>
          <w:rFonts w:ascii="Georgia" w:hAnsi="Georgia"/>
          <w:sz w:val="20"/>
          <w:szCs w:val="20"/>
        </w:rPr>
      </w:pPr>
    </w:p>
    <w:p w14:paraId="6F33A31B" w14:textId="25FC7027" w:rsidR="00A83C4D" w:rsidRPr="00C709DA" w:rsidRDefault="00A83C4D" w:rsidP="00AD78DE">
      <w:pPr>
        <w:rPr>
          <w:rFonts w:ascii="Georgia" w:hAnsi="Georgia"/>
          <w:sz w:val="20"/>
          <w:szCs w:val="20"/>
        </w:rPr>
      </w:pPr>
    </w:p>
    <w:sectPr w:rsidR="00A83C4D" w:rsidRPr="00C709DA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E24CE3" w16cex:dateUtc="2022-12-12T09:03:43.8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8EC277" w16cid:durableId="32E24C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05776" w14:textId="77777777" w:rsidR="008D2569" w:rsidRDefault="008D2569" w:rsidP="007A5617">
      <w:r>
        <w:separator/>
      </w:r>
    </w:p>
  </w:endnote>
  <w:endnote w:type="continuationSeparator" w:id="0">
    <w:p w14:paraId="12048320" w14:textId="77777777" w:rsidR="008D2569" w:rsidRDefault="008D2569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est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14:paraId="0BD851C2" w14:textId="2579D57C" w:rsidR="00286C6D" w:rsidRDefault="00286C6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99">
          <w:rPr>
            <w:noProof/>
          </w:rPr>
          <w:t>1</w:t>
        </w:r>
        <w:r>
          <w:fldChar w:fldCharType="end"/>
        </w:r>
      </w:p>
    </w:sdtContent>
  </w:sdt>
  <w:p w14:paraId="04C536A1" w14:textId="77777777" w:rsidR="00286C6D" w:rsidRDefault="00286C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DF719" w14:textId="77777777" w:rsidR="007A5617" w:rsidRDefault="007A5617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DE0">
      <w:rPr>
        <w:noProof/>
      </w:rPr>
      <w:t>1</w:t>
    </w:r>
    <w:r>
      <w:rPr>
        <w:noProof/>
      </w:rPr>
      <w:fldChar w:fldCharType="end"/>
    </w:r>
  </w:p>
  <w:p w14:paraId="0E8D344E" w14:textId="77777777" w:rsidR="007A5617" w:rsidRDefault="007A56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ED729" w14:textId="77777777" w:rsidR="008D2569" w:rsidRDefault="008D2569" w:rsidP="007A5617">
      <w:r>
        <w:separator/>
      </w:r>
    </w:p>
  </w:footnote>
  <w:footnote w:type="continuationSeparator" w:id="0">
    <w:p w14:paraId="2F89576C" w14:textId="77777777" w:rsidR="008D2569" w:rsidRDefault="008D2569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0AD4" w14:textId="5014A72F" w:rsidR="00244923" w:rsidRPr="007E7FF4" w:rsidRDefault="00307EED" w:rsidP="00244923">
    <w:pPr>
      <w:pStyle w:val="Topptekst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18"/>
        <w:szCs w:val="36"/>
      </w:rPr>
    </w:pPr>
    <w:r w:rsidRPr="007E7FF4">
      <w:rPr>
        <w:rFonts w:cs="Arial"/>
        <w:noProof/>
        <w:sz w:val="18"/>
        <w:lang w:val="en-US"/>
      </w:rPr>
      <w:drawing>
        <wp:anchor distT="0" distB="0" distL="114300" distR="114300" simplePos="0" relativeHeight="251659264" behindDoc="1" locked="1" layoutInCell="1" allowOverlap="1" wp14:anchorId="543809A4" wp14:editId="04D6C0A8">
          <wp:simplePos x="0" y="0"/>
          <wp:positionH relativeFrom="page">
            <wp:posOffset>934085</wp:posOffset>
          </wp:positionH>
          <wp:positionV relativeFrom="page">
            <wp:posOffset>480060</wp:posOffset>
          </wp:positionV>
          <wp:extent cx="561340" cy="182880"/>
          <wp:effectExtent l="0" t="0" r="0" b="7620"/>
          <wp:wrapNone/>
          <wp:docPr id="1" name="Picture 1" descr="Description: UiO_RED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O_RED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A1">
      <w:rPr>
        <w:rFonts w:asciiTheme="majorHAnsi" w:eastAsia="MS Gothic" w:hAnsiTheme="majorHAnsi"/>
        <w:sz w:val="18"/>
        <w:szCs w:val="36"/>
      </w:rPr>
      <w:t>Ø</w:t>
    </w:r>
    <w:r w:rsidR="00AD78DE">
      <w:rPr>
        <w:rFonts w:asciiTheme="majorHAnsi" w:eastAsia="MS Gothic" w:hAnsiTheme="majorHAnsi"/>
        <w:sz w:val="18"/>
        <w:szCs w:val="36"/>
      </w:rPr>
      <w:t>konomirapport</w:t>
    </w:r>
    <w:r w:rsidR="00D974C5">
      <w:rPr>
        <w:rFonts w:asciiTheme="majorHAnsi" w:eastAsia="MS Gothic" w:hAnsiTheme="majorHAnsi"/>
        <w:sz w:val="18"/>
        <w:szCs w:val="36"/>
      </w:rPr>
      <w:t>ering</w:t>
    </w:r>
  </w:p>
  <w:p w14:paraId="56763491" w14:textId="77777777" w:rsidR="007A5617" w:rsidRPr="005C07B5" w:rsidRDefault="007A5617" w:rsidP="00244923">
    <w:pPr>
      <w:pStyle w:val="Topptekst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2A03"/>
    <w:multiLevelType w:val="hybridMultilevel"/>
    <w:tmpl w:val="B8D2E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340B"/>
    <w:multiLevelType w:val="hybridMultilevel"/>
    <w:tmpl w:val="A6F2064A"/>
    <w:lvl w:ilvl="0" w:tplc="9A508A50">
      <w:start w:val="1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0758"/>
    <w:multiLevelType w:val="hybridMultilevel"/>
    <w:tmpl w:val="D6B67ED4"/>
    <w:lvl w:ilvl="0" w:tplc="FB24338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C5725"/>
    <w:multiLevelType w:val="hybridMultilevel"/>
    <w:tmpl w:val="8BD03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63138"/>
    <w:multiLevelType w:val="hybridMultilevel"/>
    <w:tmpl w:val="EDC08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4"/>
  </w:num>
  <w:num w:numId="9">
    <w:abstractNumId w:val="20"/>
  </w:num>
  <w:num w:numId="10">
    <w:abstractNumId w:val="3"/>
  </w:num>
  <w:num w:numId="11">
    <w:abstractNumId w:val="15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0"/>
  </w:num>
  <w:num w:numId="18">
    <w:abstractNumId w:val="12"/>
  </w:num>
  <w:num w:numId="19">
    <w:abstractNumId w:val="16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0100D5"/>
    <w:rsid w:val="00035148"/>
    <w:rsid w:val="000506D9"/>
    <w:rsid w:val="0005636C"/>
    <w:rsid w:val="00094374"/>
    <w:rsid w:val="000B1584"/>
    <w:rsid w:val="000B341F"/>
    <w:rsid w:val="000C4AB5"/>
    <w:rsid w:val="000D5B2A"/>
    <w:rsid w:val="000D718B"/>
    <w:rsid w:val="000E107D"/>
    <w:rsid w:val="000E5911"/>
    <w:rsid w:val="000F51EB"/>
    <w:rsid w:val="00101296"/>
    <w:rsid w:val="001212FE"/>
    <w:rsid w:val="00125BEB"/>
    <w:rsid w:val="00167C24"/>
    <w:rsid w:val="001719A1"/>
    <w:rsid w:val="001923E5"/>
    <w:rsid w:val="00194505"/>
    <w:rsid w:val="002117E0"/>
    <w:rsid w:val="00237F17"/>
    <w:rsid w:val="00243496"/>
    <w:rsid w:val="00244923"/>
    <w:rsid w:val="002647D0"/>
    <w:rsid w:val="002706D9"/>
    <w:rsid w:val="00270FF7"/>
    <w:rsid w:val="00280D33"/>
    <w:rsid w:val="002822A5"/>
    <w:rsid w:val="00286C6D"/>
    <w:rsid w:val="002B3F7A"/>
    <w:rsid w:val="002E67F7"/>
    <w:rsid w:val="002F0A93"/>
    <w:rsid w:val="002F1B04"/>
    <w:rsid w:val="002F54E8"/>
    <w:rsid w:val="00305C8F"/>
    <w:rsid w:val="00307EED"/>
    <w:rsid w:val="00310ED5"/>
    <w:rsid w:val="0032280C"/>
    <w:rsid w:val="003231BA"/>
    <w:rsid w:val="0033427E"/>
    <w:rsid w:val="00335B5E"/>
    <w:rsid w:val="003758E3"/>
    <w:rsid w:val="0039420C"/>
    <w:rsid w:val="003A1D41"/>
    <w:rsid w:val="003A7F11"/>
    <w:rsid w:val="003C316A"/>
    <w:rsid w:val="003D3973"/>
    <w:rsid w:val="003E3406"/>
    <w:rsid w:val="0040135A"/>
    <w:rsid w:val="0041116C"/>
    <w:rsid w:val="00411DA5"/>
    <w:rsid w:val="00432281"/>
    <w:rsid w:val="004665D9"/>
    <w:rsid w:val="004A064A"/>
    <w:rsid w:val="004B2FCC"/>
    <w:rsid w:val="004D20A6"/>
    <w:rsid w:val="004D37BC"/>
    <w:rsid w:val="004F5AF9"/>
    <w:rsid w:val="005040FB"/>
    <w:rsid w:val="0057498A"/>
    <w:rsid w:val="00586256"/>
    <w:rsid w:val="00596D95"/>
    <w:rsid w:val="005A7969"/>
    <w:rsid w:val="005C7077"/>
    <w:rsid w:val="00613E11"/>
    <w:rsid w:val="00621833"/>
    <w:rsid w:val="00653105"/>
    <w:rsid w:val="00657D92"/>
    <w:rsid w:val="00680354"/>
    <w:rsid w:val="00696133"/>
    <w:rsid w:val="006B3967"/>
    <w:rsid w:val="006E3BC1"/>
    <w:rsid w:val="006F5377"/>
    <w:rsid w:val="006F6574"/>
    <w:rsid w:val="006F7790"/>
    <w:rsid w:val="00707A11"/>
    <w:rsid w:val="00717A6F"/>
    <w:rsid w:val="00734CCE"/>
    <w:rsid w:val="00743B78"/>
    <w:rsid w:val="00756591"/>
    <w:rsid w:val="00756873"/>
    <w:rsid w:val="007A2C68"/>
    <w:rsid w:val="007A39F3"/>
    <w:rsid w:val="007A5617"/>
    <w:rsid w:val="007E2EE6"/>
    <w:rsid w:val="007E7ACF"/>
    <w:rsid w:val="007E7FF4"/>
    <w:rsid w:val="007F4DD7"/>
    <w:rsid w:val="00846D69"/>
    <w:rsid w:val="008716FE"/>
    <w:rsid w:val="0088327B"/>
    <w:rsid w:val="008A53F2"/>
    <w:rsid w:val="008A659A"/>
    <w:rsid w:val="008C1A94"/>
    <w:rsid w:val="008D2569"/>
    <w:rsid w:val="008D51C2"/>
    <w:rsid w:val="008E2554"/>
    <w:rsid w:val="008F7537"/>
    <w:rsid w:val="009035A3"/>
    <w:rsid w:val="0091266E"/>
    <w:rsid w:val="0091553D"/>
    <w:rsid w:val="00916DE7"/>
    <w:rsid w:val="00934B28"/>
    <w:rsid w:val="00952BBA"/>
    <w:rsid w:val="00953415"/>
    <w:rsid w:val="00964F9E"/>
    <w:rsid w:val="00967577"/>
    <w:rsid w:val="00982924"/>
    <w:rsid w:val="009A1660"/>
    <w:rsid w:val="009B0466"/>
    <w:rsid w:val="00A251C9"/>
    <w:rsid w:val="00A44CBA"/>
    <w:rsid w:val="00A50F88"/>
    <w:rsid w:val="00A66CDE"/>
    <w:rsid w:val="00A70879"/>
    <w:rsid w:val="00A83C4D"/>
    <w:rsid w:val="00A85364"/>
    <w:rsid w:val="00A95262"/>
    <w:rsid w:val="00AB093E"/>
    <w:rsid w:val="00AB56CB"/>
    <w:rsid w:val="00AD58CC"/>
    <w:rsid w:val="00AD78DE"/>
    <w:rsid w:val="00AE6809"/>
    <w:rsid w:val="00B00EAC"/>
    <w:rsid w:val="00B20242"/>
    <w:rsid w:val="00B673A9"/>
    <w:rsid w:val="00B805D1"/>
    <w:rsid w:val="00BA54D5"/>
    <w:rsid w:val="00BC6131"/>
    <w:rsid w:val="00BD2B3B"/>
    <w:rsid w:val="00C015C5"/>
    <w:rsid w:val="00C04495"/>
    <w:rsid w:val="00C16CA4"/>
    <w:rsid w:val="00C44B30"/>
    <w:rsid w:val="00C46B72"/>
    <w:rsid w:val="00C54D53"/>
    <w:rsid w:val="00C57F0D"/>
    <w:rsid w:val="00C60ADF"/>
    <w:rsid w:val="00C64FC1"/>
    <w:rsid w:val="00C6687A"/>
    <w:rsid w:val="00C709DA"/>
    <w:rsid w:val="00C90236"/>
    <w:rsid w:val="00CA707D"/>
    <w:rsid w:val="00CB48F1"/>
    <w:rsid w:val="00CB5978"/>
    <w:rsid w:val="00CD4130"/>
    <w:rsid w:val="00D1649C"/>
    <w:rsid w:val="00D37D00"/>
    <w:rsid w:val="00D65391"/>
    <w:rsid w:val="00D8098C"/>
    <w:rsid w:val="00D959FE"/>
    <w:rsid w:val="00D96411"/>
    <w:rsid w:val="00D974C5"/>
    <w:rsid w:val="00DA4AA1"/>
    <w:rsid w:val="00DC3E0C"/>
    <w:rsid w:val="00DC7C05"/>
    <w:rsid w:val="00DE7CB4"/>
    <w:rsid w:val="00E024B6"/>
    <w:rsid w:val="00E23AC9"/>
    <w:rsid w:val="00E27FAC"/>
    <w:rsid w:val="00E3449C"/>
    <w:rsid w:val="00E34D99"/>
    <w:rsid w:val="00E437E1"/>
    <w:rsid w:val="00E66489"/>
    <w:rsid w:val="00E76F70"/>
    <w:rsid w:val="00E84F8C"/>
    <w:rsid w:val="00E96C66"/>
    <w:rsid w:val="00E9755E"/>
    <w:rsid w:val="00EA2FA0"/>
    <w:rsid w:val="00EA3C7E"/>
    <w:rsid w:val="00EE5538"/>
    <w:rsid w:val="00EF2938"/>
    <w:rsid w:val="00EF5412"/>
    <w:rsid w:val="00EF5C0E"/>
    <w:rsid w:val="00F03976"/>
    <w:rsid w:val="00F05AC8"/>
    <w:rsid w:val="00F1662F"/>
    <w:rsid w:val="00F541CC"/>
    <w:rsid w:val="00F65E96"/>
    <w:rsid w:val="00F70BD9"/>
    <w:rsid w:val="00F73DC2"/>
    <w:rsid w:val="00F90DE0"/>
    <w:rsid w:val="00FA41F3"/>
    <w:rsid w:val="00FB350B"/>
    <w:rsid w:val="00FC385E"/>
    <w:rsid w:val="00FE2DB4"/>
    <w:rsid w:val="00FE2E87"/>
    <w:rsid w:val="00FE3B02"/>
    <w:rsid w:val="026F9EE3"/>
    <w:rsid w:val="08DD1F17"/>
    <w:rsid w:val="08FC08F0"/>
    <w:rsid w:val="0A97D951"/>
    <w:rsid w:val="11D9C7E5"/>
    <w:rsid w:val="17E8BB28"/>
    <w:rsid w:val="1A3C9580"/>
    <w:rsid w:val="1BB3C26E"/>
    <w:rsid w:val="22FD9C30"/>
    <w:rsid w:val="25643B45"/>
    <w:rsid w:val="2712EAEC"/>
    <w:rsid w:val="2953B557"/>
    <w:rsid w:val="2C8B5619"/>
    <w:rsid w:val="31A7B4CF"/>
    <w:rsid w:val="340C2DF7"/>
    <w:rsid w:val="3957D919"/>
    <w:rsid w:val="3CBBECCF"/>
    <w:rsid w:val="48417952"/>
    <w:rsid w:val="4EA8D704"/>
    <w:rsid w:val="51BD9BF8"/>
    <w:rsid w:val="537C1833"/>
    <w:rsid w:val="5416E683"/>
    <w:rsid w:val="558CA6C9"/>
    <w:rsid w:val="55A537AE"/>
    <w:rsid w:val="5780B774"/>
    <w:rsid w:val="57BAA4B4"/>
    <w:rsid w:val="5A5EBB43"/>
    <w:rsid w:val="5BFA8BA4"/>
    <w:rsid w:val="5D965C05"/>
    <w:rsid w:val="5E4656F9"/>
    <w:rsid w:val="6129421F"/>
    <w:rsid w:val="64FED25E"/>
    <w:rsid w:val="753C0376"/>
    <w:rsid w:val="77DA0661"/>
    <w:rsid w:val="7B0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7391D"/>
  <w15:docId w15:val="{CADD5150-A9C1-459D-84C1-AC14CF8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A5617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A561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7A5617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90D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0DE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0DE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1de655cc7c8b4c9a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9ef97950f41f413d" Type="http://schemas.microsoft.com/office/2016/09/relationships/commentsIds" Target="commentsId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FFE397C8EC54598852CDC9EEB462B" ma:contentTypeVersion="4" ma:contentTypeDescription="Opprett et nytt dokument." ma:contentTypeScope="" ma:versionID="b522614690c2ef69d091bd46cb54d2ee">
  <xsd:schema xmlns:xsd="http://www.w3.org/2001/XMLSchema" xmlns:xs="http://www.w3.org/2001/XMLSchema" xmlns:p="http://schemas.microsoft.com/office/2006/metadata/properties" xmlns:ns2="9629d6cd-e8cc-48e6-9cdb-0409a67d6e83" xmlns:ns3="e5fd7964-6982-469a-950a-cb2bb494f17f" targetNamespace="http://schemas.microsoft.com/office/2006/metadata/properties" ma:root="true" ma:fieldsID="e04615af1e69dc55c74517e698a07de1" ns2:_="" ns3:_="">
    <xsd:import namespace="9629d6cd-e8cc-48e6-9cdb-0409a67d6e83"/>
    <xsd:import namespace="e5fd7964-6982-469a-950a-cb2bb494f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9d6cd-e8cc-48e6-9cdb-0409a67d6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d7964-6982-469a-950a-cb2bb494f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023DA-96F9-4EDD-8CEA-0B91A0F7C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85764-3E92-4D0E-945E-608ACF7D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9d6cd-e8cc-48e6-9cdb-0409a67d6e83"/>
    <ds:schemaRef ds:uri="e5fd7964-6982-469a-950a-cb2bb494f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2F866-4E2D-4298-8155-327F14C0909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5fd7964-6982-469a-950a-cb2bb494f17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629d6cd-e8cc-48e6-9cdb-0409a67d6e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Trude Jensen</cp:lastModifiedBy>
  <cp:revision>2</cp:revision>
  <cp:lastPrinted>2018-10-11T11:24:00Z</cp:lastPrinted>
  <dcterms:created xsi:type="dcterms:W3CDTF">2023-02-23T08:41:00Z</dcterms:created>
  <dcterms:modified xsi:type="dcterms:W3CDTF">2023-02-23T08:41:00Z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0x010100589FFE397C8EC54598852CDC9EEB462B</vt:lpwstr>
  </property>
</Properties>
</file>